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6F" w:rsidRDefault="009E6411" w:rsidP="00BE276F">
      <w:pPr>
        <w:spacing w:after="120"/>
        <w:jc w:val="center"/>
        <w:rPr>
          <w:b/>
          <w:lang w:val="en-US"/>
        </w:rPr>
      </w:pPr>
      <w:bookmarkStart w:id="0" w:name="_GoBack"/>
      <w:bookmarkEnd w:id="0"/>
      <w:r>
        <w:rPr>
          <w:b/>
          <w:lang w:val="en-US"/>
        </w:rPr>
        <w:t xml:space="preserve">KHÁI QUÁT </w:t>
      </w:r>
      <w:r w:rsidR="00D94C7D" w:rsidRPr="00B00FBA">
        <w:rPr>
          <w:b/>
          <w:lang w:val="en-US"/>
        </w:rPr>
        <w:t xml:space="preserve">TRÌNH TỰ THỰC HIỆN </w:t>
      </w:r>
      <w:r w:rsidR="00B00FBA" w:rsidRPr="00B00FBA">
        <w:rPr>
          <w:b/>
          <w:lang w:val="en-US"/>
        </w:rPr>
        <w:t xml:space="preserve">CÁC THỦ TỤC ĐỐI VỚI </w:t>
      </w:r>
    </w:p>
    <w:p w:rsidR="003E1B80" w:rsidRDefault="00B00FBA" w:rsidP="00BE276F">
      <w:pPr>
        <w:spacing w:after="120"/>
        <w:jc w:val="center"/>
        <w:rPr>
          <w:b/>
          <w:lang w:val="en-US"/>
        </w:rPr>
      </w:pPr>
      <w:r w:rsidRPr="00B00FBA">
        <w:rPr>
          <w:b/>
          <w:lang w:val="en-US"/>
        </w:rPr>
        <w:t>DỰ ÁN ĐẦU TƯ</w:t>
      </w:r>
      <w:r w:rsidR="009E6411">
        <w:rPr>
          <w:b/>
          <w:lang w:val="en-US"/>
        </w:rPr>
        <w:t xml:space="preserve"> NGOÀI KHU KINH TẾ ĐÌNH VŨ </w:t>
      </w:r>
      <w:r w:rsidR="009E6411" w:rsidRPr="00DE652C">
        <w:rPr>
          <w:lang w:val="en-US"/>
        </w:rPr>
        <w:t>-</w:t>
      </w:r>
      <w:r w:rsidR="009E6411">
        <w:rPr>
          <w:b/>
          <w:lang w:val="en-US"/>
        </w:rPr>
        <w:t xml:space="preserve"> CÁT HẢI</w:t>
      </w:r>
    </w:p>
    <w:p w:rsidR="00584B21" w:rsidRPr="00EB1640" w:rsidRDefault="00584B21" w:rsidP="001D4E0C">
      <w:pPr>
        <w:ind w:right="-172"/>
        <w:jc w:val="center"/>
        <w:rPr>
          <w:i/>
          <w:lang w:val="en-US"/>
        </w:rPr>
      </w:pPr>
      <w:r w:rsidRPr="00EB1640">
        <w:rPr>
          <w:i/>
          <w:lang w:val="en-US"/>
        </w:rPr>
        <w:t>(</w:t>
      </w:r>
      <w:r w:rsidR="007221D0">
        <w:rPr>
          <w:i/>
          <w:lang w:val="en-US"/>
        </w:rPr>
        <w:t>Phạm vi á</w:t>
      </w:r>
      <w:r w:rsidR="003E740D" w:rsidRPr="00EB1640">
        <w:rPr>
          <w:i/>
          <w:lang w:val="en-US"/>
        </w:rPr>
        <w:t xml:space="preserve">p dụng: </w:t>
      </w:r>
      <w:r w:rsidR="007221D0">
        <w:rPr>
          <w:i/>
          <w:lang w:val="en-US"/>
        </w:rPr>
        <w:t>Kể từ khi</w:t>
      </w:r>
      <w:r w:rsidRPr="00EB1640">
        <w:rPr>
          <w:i/>
          <w:lang w:val="en-US"/>
        </w:rPr>
        <w:t xml:space="preserve"> </w:t>
      </w:r>
      <w:r w:rsidR="003E740D" w:rsidRPr="00EB1640">
        <w:rPr>
          <w:i/>
          <w:lang w:val="en-US"/>
        </w:rPr>
        <w:t xml:space="preserve">Nhà đầu tư </w:t>
      </w:r>
      <w:r w:rsidRPr="00EB1640">
        <w:rPr>
          <w:i/>
          <w:lang w:val="en-US"/>
        </w:rPr>
        <w:t xml:space="preserve">được </w:t>
      </w:r>
      <w:r w:rsidR="003E740D" w:rsidRPr="00EB1640">
        <w:rPr>
          <w:i/>
          <w:lang w:val="en-US"/>
        </w:rPr>
        <w:t xml:space="preserve">Ủy ban nhân dân thành phố </w:t>
      </w:r>
      <w:r w:rsidRPr="00EB1640">
        <w:rPr>
          <w:i/>
          <w:lang w:val="en-US"/>
        </w:rPr>
        <w:t>cấ</w:t>
      </w:r>
      <w:r w:rsidR="008E649F" w:rsidRPr="00EB1640">
        <w:rPr>
          <w:i/>
          <w:lang w:val="en-US"/>
        </w:rPr>
        <w:t xml:space="preserve">p Quyết định chấp thuận chủ trương đầu tư đồng thời chấp thuận nhà đầu tư/ Quyết định chấp thuận nhà đầu tư/ Quyết định </w:t>
      </w:r>
      <w:r w:rsidR="003E740D" w:rsidRPr="00EB1640">
        <w:rPr>
          <w:i/>
          <w:lang w:val="en-US"/>
        </w:rPr>
        <w:t>phê duyệt kết quả lựa chọn nhà đầu tư sau khi đấu thầu</w:t>
      </w:r>
      <w:r w:rsidR="007F2C99">
        <w:rPr>
          <w:i/>
          <w:lang w:val="en-US"/>
        </w:rPr>
        <w:t>/ Quyết định công nhận kết quả đấu giá quyền sử dụng đất để thực hiện Dự án thuộc diện chấp thuận chủ trương đầ</w:t>
      </w:r>
      <w:r w:rsidR="001D4E0C">
        <w:rPr>
          <w:i/>
          <w:lang w:val="en-US"/>
        </w:rPr>
        <w:t xml:space="preserve">u </w:t>
      </w:r>
      <w:r w:rsidR="007F2C99">
        <w:rPr>
          <w:i/>
          <w:lang w:val="en-US"/>
        </w:rPr>
        <w:t>tư</w:t>
      </w:r>
      <w:r w:rsidR="007221D0">
        <w:rPr>
          <w:i/>
          <w:lang w:val="en-US"/>
        </w:rPr>
        <w:t xml:space="preserve"> </w:t>
      </w:r>
      <w:r w:rsidR="007221D0" w:rsidRPr="007221D0">
        <w:rPr>
          <w:i/>
          <w:lang w:val="en-US"/>
        </w:rPr>
        <w:t>đến thời điểm cấp Giấy phép xây dựng</w:t>
      </w:r>
      <w:r w:rsidR="003E740D" w:rsidRPr="00EB1640">
        <w:rPr>
          <w:i/>
          <w:lang w:val="en-US"/>
        </w:rPr>
        <w:t>)</w:t>
      </w:r>
    </w:p>
    <w:tbl>
      <w:tblPr>
        <w:tblStyle w:val="TableGrid"/>
        <w:tblW w:w="14096" w:type="dxa"/>
        <w:tblLook w:val="04A0" w:firstRow="1" w:lastRow="0" w:firstColumn="1" w:lastColumn="0" w:noHBand="0" w:noVBand="1"/>
      </w:tblPr>
      <w:tblGrid>
        <w:gridCol w:w="636"/>
        <w:gridCol w:w="4295"/>
        <w:gridCol w:w="7040"/>
        <w:gridCol w:w="2125"/>
      </w:tblGrid>
      <w:tr w:rsidR="00D579F4" w:rsidTr="00DA2FF8">
        <w:trPr>
          <w:trHeight w:val="382"/>
        </w:trPr>
        <w:tc>
          <w:tcPr>
            <w:tcW w:w="562" w:type="dxa"/>
            <w:vMerge w:val="restart"/>
          </w:tcPr>
          <w:p w:rsidR="00D579F4" w:rsidRPr="00361BB3" w:rsidRDefault="00D579F4" w:rsidP="00361BB3">
            <w:pPr>
              <w:spacing w:before="60" w:after="60"/>
              <w:jc w:val="center"/>
              <w:rPr>
                <w:rFonts w:asciiTheme="majorHAnsi" w:hAnsiTheme="majorHAnsi" w:cstheme="majorHAnsi"/>
                <w:b/>
                <w:szCs w:val="28"/>
                <w:lang w:val="en-US"/>
              </w:rPr>
            </w:pPr>
            <w:r w:rsidRPr="00361BB3">
              <w:rPr>
                <w:rFonts w:asciiTheme="majorHAnsi" w:hAnsiTheme="majorHAnsi" w:cstheme="majorHAnsi"/>
                <w:b/>
                <w:szCs w:val="28"/>
                <w:lang w:val="en-US"/>
              </w:rPr>
              <w:t>Stt</w:t>
            </w:r>
          </w:p>
        </w:tc>
        <w:tc>
          <w:tcPr>
            <w:tcW w:w="4321" w:type="dxa"/>
            <w:vMerge w:val="restart"/>
          </w:tcPr>
          <w:p w:rsidR="00D579F4" w:rsidRPr="00361BB3" w:rsidRDefault="00D579F4" w:rsidP="00361BB3">
            <w:pPr>
              <w:spacing w:before="60" w:after="60"/>
              <w:jc w:val="center"/>
              <w:rPr>
                <w:rFonts w:asciiTheme="majorHAnsi" w:hAnsiTheme="majorHAnsi" w:cstheme="majorHAnsi"/>
                <w:b/>
                <w:szCs w:val="28"/>
                <w:lang w:val="en-US"/>
              </w:rPr>
            </w:pPr>
            <w:r w:rsidRPr="00361BB3">
              <w:rPr>
                <w:rFonts w:asciiTheme="majorHAnsi" w:hAnsiTheme="majorHAnsi" w:cstheme="majorHAnsi"/>
                <w:b/>
                <w:szCs w:val="28"/>
                <w:lang w:val="en-US"/>
              </w:rPr>
              <w:t>Thủ tục</w:t>
            </w:r>
          </w:p>
        </w:tc>
        <w:tc>
          <w:tcPr>
            <w:tcW w:w="7087" w:type="dxa"/>
            <w:vMerge w:val="restart"/>
          </w:tcPr>
          <w:p w:rsidR="00D579F4" w:rsidRPr="00361BB3" w:rsidRDefault="00D579F4" w:rsidP="00361BB3">
            <w:pPr>
              <w:spacing w:before="60" w:after="60"/>
              <w:jc w:val="center"/>
              <w:rPr>
                <w:rFonts w:asciiTheme="majorHAnsi" w:hAnsiTheme="majorHAnsi" w:cstheme="majorHAnsi"/>
                <w:b/>
                <w:szCs w:val="28"/>
                <w:lang w:val="en-US"/>
              </w:rPr>
            </w:pPr>
            <w:r w:rsidRPr="00361BB3">
              <w:rPr>
                <w:rFonts w:asciiTheme="majorHAnsi" w:hAnsiTheme="majorHAnsi" w:cstheme="majorHAnsi"/>
                <w:b/>
                <w:szCs w:val="28"/>
                <w:lang w:val="en-US"/>
              </w:rPr>
              <w:t>Quy trình thực hiện</w:t>
            </w:r>
          </w:p>
        </w:tc>
        <w:tc>
          <w:tcPr>
            <w:tcW w:w="2126" w:type="dxa"/>
            <w:vMerge w:val="restart"/>
          </w:tcPr>
          <w:p w:rsidR="00D579F4" w:rsidRPr="00361BB3" w:rsidRDefault="00D579F4" w:rsidP="00361BB3">
            <w:pPr>
              <w:spacing w:before="60" w:after="60"/>
              <w:jc w:val="center"/>
              <w:rPr>
                <w:rFonts w:asciiTheme="majorHAnsi" w:hAnsiTheme="majorHAnsi" w:cstheme="majorHAnsi"/>
                <w:b/>
                <w:szCs w:val="28"/>
                <w:lang w:val="en-US"/>
              </w:rPr>
            </w:pPr>
            <w:r w:rsidRPr="00361BB3">
              <w:rPr>
                <w:rFonts w:asciiTheme="majorHAnsi" w:hAnsiTheme="majorHAnsi" w:cstheme="majorHAnsi"/>
                <w:b/>
                <w:szCs w:val="28"/>
                <w:lang w:val="en-US"/>
              </w:rPr>
              <w:t>Cơ quan chủ trì hướng dẫn</w:t>
            </w:r>
          </w:p>
        </w:tc>
      </w:tr>
      <w:tr w:rsidR="00D579F4" w:rsidTr="00DA2FF8">
        <w:trPr>
          <w:trHeight w:val="442"/>
        </w:trPr>
        <w:tc>
          <w:tcPr>
            <w:tcW w:w="562" w:type="dxa"/>
            <w:vMerge/>
          </w:tcPr>
          <w:p w:rsidR="00D579F4" w:rsidRPr="00361BB3" w:rsidRDefault="00D579F4" w:rsidP="00361BB3">
            <w:pPr>
              <w:spacing w:before="60" w:after="60"/>
              <w:jc w:val="center"/>
              <w:rPr>
                <w:rFonts w:asciiTheme="majorHAnsi" w:hAnsiTheme="majorHAnsi" w:cstheme="majorHAnsi"/>
                <w:b/>
                <w:szCs w:val="28"/>
                <w:lang w:val="en-US"/>
              </w:rPr>
            </w:pPr>
          </w:p>
        </w:tc>
        <w:tc>
          <w:tcPr>
            <w:tcW w:w="4321" w:type="dxa"/>
            <w:vMerge/>
          </w:tcPr>
          <w:p w:rsidR="00D579F4" w:rsidRPr="00361BB3" w:rsidRDefault="00D579F4" w:rsidP="00361BB3">
            <w:pPr>
              <w:spacing w:before="60" w:after="60"/>
              <w:jc w:val="center"/>
              <w:rPr>
                <w:rFonts w:asciiTheme="majorHAnsi" w:hAnsiTheme="majorHAnsi" w:cstheme="majorHAnsi"/>
                <w:b/>
                <w:szCs w:val="28"/>
                <w:lang w:val="en-US"/>
              </w:rPr>
            </w:pPr>
          </w:p>
        </w:tc>
        <w:tc>
          <w:tcPr>
            <w:tcW w:w="7087" w:type="dxa"/>
            <w:vMerge/>
          </w:tcPr>
          <w:p w:rsidR="00D579F4" w:rsidRPr="00361BB3" w:rsidRDefault="00D579F4" w:rsidP="00361BB3">
            <w:pPr>
              <w:spacing w:before="60" w:after="60"/>
              <w:jc w:val="center"/>
              <w:rPr>
                <w:rFonts w:asciiTheme="majorHAnsi" w:hAnsiTheme="majorHAnsi" w:cstheme="majorHAnsi"/>
                <w:b/>
                <w:szCs w:val="28"/>
                <w:lang w:val="en-US"/>
              </w:rPr>
            </w:pPr>
          </w:p>
        </w:tc>
        <w:tc>
          <w:tcPr>
            <w:tcW w:w="2126" w:type="dxa"/>
            <w:vMerge/>
          </w:tcPr>
          <w:p w:rsidR="00D579F4" w:rsidRPr="00361BB3" w:rsidRDefault="00D579F4" w:rsidP="00361BB3">
            <w:pPr>
              <w:spacing w:before="60" w:after="60"/>
              <w:jc w:val="center"/>
              <w:rPr>
                <w:rFonts w:asciiTheme="majorHAnsi" w:hAnsiTheme="majorHAnsi" w:cstheme="majorHAnsi"/>
                <w:b/>
                <w:szCs w:val="28"/>
                <w:lang w:val="en-US"/>
              </w:rPr>
            </w:pPr>
          </w:p>
        </w:tc>
      </w:tr>
      <w:tr w:rsidR="00D579F4" w:rsidTr="00DA2FF8">
        <w:tc>
          <w:tcPr>
            <w:tcW w:w="562" w:type="dxa"/>
          </w:tcPr>
          <w:p w:rsidR="00D579F4" w:rsidRPr="00361BB3" w:rsidRDefault="00D579F4" w:rsidP="00361BB3">
            <w:pPr>
              <w:spacing w:before="60" w:after="60"/>
              <w:jc w:val="center"/>
              <w:rPr>
                <w:rFonts w:asciiTheme="majorHAnsi" w:hAnsiTheme="majorHAnsi" w:cstheme="majorHAnsi"/>
                <w:b/>
                <w:szCs w:val="28"/>
                <w:lang w:val="en-US"/>
              </w:rPr>
            </w:pPr>
            <w:r w:rsidRPr="00361BB3">
              <w:rPr>
                <w:rFonts w:asciiTheme="majorHAnsi" w:hAnsiTheme="majorHAnsi" w:cstheme="majorHAnsi"/>
                <w:b/>
                <w:szCs w:val="28"/>
                <w:lang w:val="en-US"/>
              </w:rPr>
              <w:t>1</w:t>
            </w:r>
          </w:p>
        </w:tc>
        <w:tc>
          <w:tcPr>
            <w:tcW w:w="4321" w:type="dxa"/>
          </w:tcPr>
          <w:p w:rsidR="00D579F4" w:rsidRPr="00361BB3" w:rsidRDefault="00D579F4" w:rsidP="00361BB3">
            <w:pPr>
              <w:spacing w:before="60" w:after="60"/>
              <w:rPr>
                <w:rFonts w:asciiTheme="majorHAnsi" w:hAnsiTheme="majorHAnsi" w:cstheme="majorHAnsi"/>
                <w:b/>
                <w:szCs w:val="28"/>
                <w:lang w:val="en-US"/>
              </w:rPr>
            </w:pPr>
            <w:r w:rsidRPr="00361BB3">
              <w:rPr>
                <w:rFonts w:asciiTheme="majorHAnsi" w:hAnsiTheme="majorHAnsi" w:cstheme="majorHAnsi"/>
                <w:b/>
                <w:szCs w:val="28"/>
                <w:lang w:val="en-US"/>
              </w:rPr>
              <w:t>Đầu tư</w:t>
            </w:r>
          </w:p>
        </w:tc>
        <w:tc>
          <w:tcPr>
            <w:tcW w:w="7087" w:type="dxa"/>
          </w:tcPr>
          <w:p w:rsidR="00D579F4" w:rsidRPr="00361BB3" w:rsidRDefault="00D579F4" w:rsidP="00361BB3">
            <w:pPr>
              <w:spacing w:before="60" w:after="60"/>
              <w:jc w:val="center"/>
              <w:rPr>
                <w:rFonts w:asciiTheme="majorHAnsi" w:hAnsiTheme="majorHAnsi" w:cstheme="majorHAnsi"/>
                <w:b/>
                <w:szCs w:val="28"/>
                <w:lang w:val="en-US"/>
              </w:rPr>
            </w:pPr>
          </w:p>
        </w:tc>
        <w:tc>
          <w:tcPr>
            <w:tcW w:w="2126" w:type="dxa"/>
          </w:tcPr>
          <w:p w:rsidR="00D579F4" w:rsidRPr="00361BB3" w:rsidRDefault="00D579F4" w:rsidP="00361BB3">
            <w:pPr>
              <w:spacing w:before="60" w:after="60"/>
              <w:jc w:val="center"/>
              <w:rPr>
                <w:rFonts w:asciiTheme="majorHAnsi" w:hAnsiTheme="majorHAnsi" w:cstheme="majorHAnsi"/>
                <w:b/>
                <w:szCs w:val="28"/>
                <w:lang w:val="en-US"/>
              </w:rPr>
            </w:pP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1.1</w:t>
            </w:r>
          </w:p>
        </w:tc>
        <w:tc>
          <w:tcPr>
            <w:tcW w:w="4321" w:type="dxa"/>
          </w:tcPr>
          <w:p w:rsidR="00D579F4" w:rsidRPr="00361BB3" w:rsidRDefault="004675F0"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Cấp Giấy chứng nhận đăng ký đầu tư</w:t>
            </w:r>
          </w:p>
        </w:tc>
        <w:tc>
          <w:tcPr>
            <w:tcW w:w="7087" w:type="dxa"/>
          </w:tcPr>
          <w:p w:rsidR="00D579F4" w:rsidRPr="00361BB3" w:rsidRDefault="004675F0"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NĐT nước ngoài thực hiện thủ tục cấp Giấy chứng nhận đăng ký đầu tư.</w:t>
            </w:r>
          </w:p>
          <w:p w:rsidR="004675F0" w:rsidRPr="00361BB3" w:rsidRDefault="004675F0"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w:t>
            </w:r>
            <w:r w:rsidR="00692272" w:rsidRPr="00361BB3">
              <w:rPr>
                <w:rFonts w:asciiTheme="majorHAnsi" w:hAnsiTheme="majorHAnsi" w:cstheme="majorHAnsi"/>
                <w:szCs w:val="28"/>
                <w:lang w:val="en-US"/>
              </w:rPr>
              <w:t>Đối với NĐT trong nước, trường hợp có nhu cầu thì thực hiện thủ tục cấp Giấy chứng nhận đăng ký đầu tư.</w:t>
            </w:r>
          </w:p>
        </w:tc>
        <w:tc>
          <w:tcPr>
            <w:tcW w:w="2126" w:type="dxa"/>
          </w:tcPr>
          <w:p w:rsidR="00D579F4" w:rsidRPr="00361BB3" w:rsidRDefault="00C91EFD"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Sở KHĐT</w:t>
            </w:r>
          </w:p>
        </w:tc>
      </w:tr>
      <w:tr w:rsidR="004675F0" w:rsidRPr="00184A8E" w:rsidTr="00DA2FF8">
        <w:tc>
          <w:tcPr>
            <w:tcW w:w="562" w:type="dxa"/>
          </w:tcPr>
          <w:p w:rsidR="004675F0" w:rsidRPr="00361BB3" w:rsidRDefault="00692272"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1.2</w:t>
            </w:r>
          </w:p>
        </w:tc>
        <w:tc>
          <w:tcPr>
            <w:tcW w:w="4321" w:type="dxa"/>
          </w:tcPr>
          <w:p w:rsidR="004675F0" w:rsidRPr="00361BB3" w:rsidRDefault="004675F0"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Bảo đảm thực hiện dự án đầu tư </w:t>
            </w:r>
          </w:p>
        </w:tc>
        <w:tc>
          <w:tcPr>
            <w:tcW w:w="7087" w:type="dxa"/>
          </w:tcPr>
          <w:p w:rsidR="004675F0" w:rsidRPr="00361BB3" w:rsidRDefault="004675F0"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Sở KHĐT và NĐT thỏa thuận, lựa chọn hình thức bảo đảm thực hiện dự án (ký quỹ hoặc bảo lãnh của ngân hàng về nghĩa vụ ký quỹ) và ký kết thỏa thuận bảo đảm thực hiện </w:t>
            </w:r>
            <w:r w:rsidR="00F3798D" w:rsidRPr="00361BB3">
              <w:rPr>
                <w:rFonts w:asciiTheme="majorHAnsi" w:hAnsiTheme="majorHAnsi" w:cstheme="majorHAnsi"/>
                <w:szCs w:val="28"/>
                <w:lang w:val="en-US"/>
              </w:rPr>
              <w:t>dự án</w:t>
            </w:r>
            <w:r w:rsidRPr="00361BB3">
              <w:rPr>
                <w:rFonts w:asciiTheme="majorHAnsi" w:hAnsiTheme="majorHAnsi" w:cstheme="majorHAnsi"/>
                <w:szCs w:val="28"/>
                <w:lang w:val="en-US"/>
              </w:rPr>
              <w:t xml:space="preserve">. </w:t>
            </w:r>
          </w:p>
          <w:p w:rsidR="004675F0" w:rsidRPr="00361BB3" w:rsidRDefault="004675F0"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NĐT thực hiện ký quỹ/ nộp thư bảo lãnh theo thời hạn quy định trong thỏa thuậ</w:t>
            </w:r>
            <w:r w:rsidR="00353B6D" w:rsidRPr="00361BB3">
              <w:rPr>
                <w:rFonts w:asciiTheme="majorHAnsi" w:hAnsiTheme="majorHAnsi" w:cstheme="majorHAnsi"/>
                <w:szCs w:val="28"/>
                <w:lang w:val="en-US"/>
              </w:rPr>
              <w:t>n.</w:t>
            </w:r>
          </w:p>
        </w:tc>
        <w:tc>
          <w:tcPr>
            <w:tcW w:w="2126" w:type="dxa"/>
          </w:tcPr>
          <w:p w:rsidR="004675F0" w:rsidRPr="00361BB3" w:rsidRDefault="00C91EFD"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Sở KHĐT</w:t>
            </w: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1.2.</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Báo cáo giám sát, đánh giá đầu tư</w:t>
            </w:r>
          </w:p>
        </w:tc>
        <w:tc>
          <w:tcPr>
            <w:tcW w:w="7087" w:type="dxa"/>
          </w:tcPr>
          <w:p w:rsidR="00A0567A" w:rsidRPr="00361BB3" w:rsidRDefault="00353B6D"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T</w:t>
            </w:r>
            <w:r w:rsidRPr="00361BB3">
              <w:rPr>
                <w:rFonts w:asciiTheme="majorHAnsi" w:hAnsiTheme="majorHAnsi" w:cstheme="majorHAnsi"/>
                <w:szCs w:val="28"/>
              </w:rPr>
              <w:t xml:space="preserve">rong quá trình triển khai thực hiện </w:t>
            </w:r>
            <w:r w:rsidR="00F3798D" w:rsidRPr="00361BB3">
              <w:rPr>
                <w:rFonts w:asciiTheme="majorHAnsi" w:hAnsiTheme="majorHAnsi" w:cstheme="majorHAnsi"/>
                <w:szCs w:val="28"/>
                <w:lang w:val="en-US"/>
              </w:rPr>
              <w:t>dự án</w:t>
            </w:r>
            <w:r w:rsidRPr="00361BB3">
              <w:rPr>
                <w:rFonts w:asciiTheme="majorHAnsi" w:hAnsiTheme="majorHAnsi" w:cstheme="majorHAnsi"/>
                <w:szCs w:val="28"/>
                <w:lang w:val="en-US"/>
              </w:rPr>
              <w:t>,</w:t>
            </w:r>
            <w:r w:rsidRPr="00361BB3">
              <w:rPr>
                <w:rFonts w:asciiTheme="majorHAnsi" w:hAnsiTheme="majorHAnsi" w:cstheme="majorHAnsi"/>
                <w:szCs w:val="28"/>
              </w:rPr>
              <w:t xml:space="preserve"> </w:t>
            </w:r>
            <w:r w:rsidR="00D579F4" w:rsidRPr="00361BB3">
              <w:rPr>
                <w:rFonts w:asciiTheme="majorHAnsi" w:hAnsiTheme="majorHAnsi" w:cstheme="majorHAnsi"/>
                <w:szCs w:val="28"/>
              </w:rPr>
              <w:t>NĐT lập và gửi báo cáo giám sát, đánh giá đầu tư 6 tháng trước ngày 10/7 của năm báo cáo; báo cáo giám sát, đánh giá đầu tư hàng năm trước ngày 10/02 của năm sau</w:t>
            </w:r>
            <w:r w:rsidRPr="00361BB3">
              <w:rPr>
                <w:rFonts w:asciiTheme="majorHAnsi" w:hAnsiTheme="majorHAnsi" w:cstheme="majorHAnsi"/>
                <w:szCs w:val="28"/>
              </w:rPr>
              <w:t xml:space="preserve"> và các báo cáo khác theo quy định</w:t>
            </w:r>
            <w:r w:rsidR="0099009F" w:rsidRPr="00361BB3">
              <w:rPr>
                <w:rFonts w:asciiTheme="majorHAnsi" w:hAnsiTheme="majorHAnsi" w:cstheme="majorHAnsi"/>
                <w:szCs w:val="28"/>
                <w:lang w:val="en-US"/>
              </w:rPr>
              <w:t xml:space="preserve"> của pháp luật đầu tư</w:t>
            </w:r>
            <w:r w:rsidR="00395E34" w:rsidRPr="00361BB3">
              <w:rPr>
                <w:rFonts w:asciiTheme="majorHAnsi" w:hAnsiTheme="majorHAnsi" w:cstheme="majorHAnsi"/>
                <w:szCs w:val="28"/>
                <w:lang w:val="en-US"/>
              </w:rPr>
              <w:t xml:space="preserve"> được quy định tại </w:t>
            </w:r>
            <w:r w:rsidR="00A62EA5" w:rsidRPr="00361BB3">
              <w:rPr>
                <w:rFonts w:asciiTheme="majorHAnsi" w:hAnsiTheme="majorHAnsi" w:cstheme="majorHAnsi"/>
                <w:i/>
                <w:szCs w:val="28"/>
                <w:lang w:val="en-US"/>
              </w:rPr>
              <w:t xml:space="preserve">Quyết định chấp thuận chủ trương đầu tư hoặc </w:t>
            </w:r>
            <w:r w:rsidR="00395E34" w:rsidRPr="00361BB3">
              <w:rPr>
                <w:rFonts w:asciiTheme="majorHAnsi" w:hAnsiTheme="majorHAnsi" w:cstheme="majorHAnsi"/>
                <w:i/>
                <w:szCs w:val="28"/>
                <w:lang w:val="en-US"/>
              </w:rPr>
              <w:t xml:space="preserve">Quyết định chấp thuận chủ </w:t>
            </w:r>
            <w:r w:rsidR="00395E34" w:rsidRPr="00361BB3">
              <w:rPr>
                <w:rFonts w:asciiTheme="majorHAnsi" w:hAnsiTheme="majorHAnsi" w:cstheme="majorHAnsi"/>
                <w:i/>
                <w:szCs w:val="28"/>
                <w:lang w:val="en-US"/>
              </w:rPr>
              <w:lastRenderedPageBreak/>
              <w:t>trương đầu tư đồng thời chấp thuận nhà đầu tư</w:t>
            </w:r>
            <w:r w:rsidR="00A62EA5" w:rsidRPr="00361BB3">
              <w:rPr>
                <w:rFonts w:asciiTheme="majorHAnsi" w:hAnsiTheme="majorHAnsi" w:cstheme="majorHAnsi"/>
                <w:i/>
                <w:szCs w:val="28"/>
                <w:lang w:val="en-US"/>
              </w:rPr>
              <w:t xml:space="preserve"> hoặc </w:t>
            </w:r>
            <w:r w:rsidR="00395E34" w:rsidRPr="00361BB3">
              <w:rPr>
                <w:rFonts w:asciiTheme="majorHAnsi" w:hAnsiTheme="majorHAnsi" w:cstheme="majorHAnsi"/>
                <w:i/>
                <w:szCs w:val="28"/>
                <w:lang w:val="en-US"/>
              </w:rPr>
              <w:t>Quyết định chấp thuận nhà đầu tư</w:t>
            </w:r>
            <w:r w:rsidR="0099009F" w:rsidRPr="00361BB3">
              <w:rPr>
                <w:rFonts w:asciiTheme="majorHAnsi" w:hAnsiTheme="majorHAnsi" w:cstheme="majorHAnsi"/>
                <w:szCs w:val="28"/>
                <w:lang w:val="en-US"/>
              </w:rPr>
              <w:t>.</w:t>
            </w:r>
          </w:p>
        </w:tc>
        <w:tc>
          <w:tcPr>
            <w:tcW w:w="2126" w:type="dxa"/>
          </w:tcPr>
          <w:p w:rsidR="00D579F4" w:rsidRPr="00361BB3" w:rsidRDefault="00C91EFD"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Sở KHĐT</w:t>
            </w: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b/>
                <w:szCs w:val="28"/>
                <w:lang w:val="en-US"/>
              </w:rPr>
            </w:pPr>
            <w:r w:rsidRPr="00361BB3">
              <w:rPr>
                <w:rFonts w:asciiTheme="majorHAnsi" w:hAnsiTheme="majorHAnsi" w:cstheme="majorHAnsi"/>
                <w:b/>
                <w:szCs w:val="28"/>
                <w:lang w:val="en-US"/>
              </w:rPr>
              <w:lastRenderedPageBreak/>
              <w:t>2</w:t>
            </w:r>
          </w:p>
        </w:tc>
        <w:tc>
          <w:tcPr>
            <w:tcW w:w="4321" w:type="dxa"/>
          </w:tcPr>
          <w:p w:rsidR="00D579F4" w:rsidRPr="00361BB3" w:rsidRDefault="00D579F4" w:rsidP="00361BB3">
            <w:pPr>
              <w:spacing w:before="60" w:after="60"/>
              <w:jc w:val="both"/>
              <w:rPr>
                <w:rFonts w:asciiTheme="majorHAnsi" w:hAnsiTheme="majorHAnsi" w:cstheme="majorHAnsi"/>
                <w:b/>
                <w:szCs w:val="28"/>
                <w:lang w:val="en-US"/>
              </w:rPr>
            </w:pPr>
            <w:r w:rsidRPr="00361BB3">
              <w:rPr>
                <w:rFonts w:asciiTheme="majorHAnsi" w:hAnsiTheme="majorHAnsi" w:cstheme="majorHAnsi"/>
                <w:b/>
                <w:szCs w:val="28"/>
                <w:lang w:val="en-US"/>
              </w:rPr>
              <w:t xml:space="preserve">Quy hoạch (trừ </w:t>
            </w:r>
            <w:r w:rsidR="00A62EA5" w:rsidRPr="00361BB3">
              <w:rPr>
                <w:rFonts w:asciiTheme="majorHAnsi" w:hAnsiTheme="majorHAnsi" w:cstheme="majorHAnsi"/>
                <w:b/>
                <w:szCs w:val="28"/>
                <w:lang w:val="en-US"/>
              </w:rPr>
              <w:t>dự án</w:t>
            </w:r>
            <w:r w:rsidRPr="00361BB3">
              <w:rPr>
                <w:rFonts w:asciiTheme="majorHAnsi" w:hAnsiTheme="majorHAnsi" w:cstheme="majorHAnsi"/>
                <w:b/>
                <w:szCs w:val="28"/>
                <w:lang w:val="en-US"/>
              </w:rPr>
              <w:t xml:space="preserve"> </w:t>
            </w:r>
            <w:r w:rsidR="00A62EA5" w:rsidRPr="00361BB3">
              <w:rPr>
                <w:rFonts w:asciiTheme="majorHAnsi" w:hAnsiTheme="majorHAnsi" w:cstheme="majorHAnsi"/>
                <w:b/>
                <w:szCs w:val="28"/>
                <w:lang w:val="en-US"/>
              </w:rPr>
              <w:t xml:space="preserve">áp dụng hình thức </w:t>
            </w:r>
            <w:r w:rsidRPr="00361BB3">
              <w:rPr>
                <w:rFonts w:asciiTheme="majorHAnsi" w:hAnsiTheme="majorHAnsi" w:cstheme="majorHAnsi"/>
                <w:b/>
                <w:szCs w:val="28"/>
                <w:lang w:val="en-US"/>
              </w:rPr>
              <w:t>đấu giá)</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2.1.</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Trường hợp 1: Quy hoạch chi tiết tỷ lệ 1/500 Dự án do UBND quận/ huyện phê duyệt</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Nhiệm vụ quy hoạch</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NĐT lập nhiệm vụ quy hoạch, gửi UBND quận/huyện chủ trì thẩm định và phê duyệt</w:t>
            </w:r>
          </w:p>
        </w:tc>
        <w:tc>
          <w:tcPr>
            <w:tcW w:w="2126" w:type="dxa"/>
          </w:tcPr>
          <w:p w:rsidR="00D579F4" w:rsidRPr="00361BB3" w:rsidRDefault="001062FA"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UBND quận/huyện</w:t>
            </w: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Đồ án quy hoạch</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NĐT lập đồ án quy hoạch, gửi </w:t>
            </w:r>
            <w:r w:rsidR="000D6EAF" w:rsidRPr="00361BB3">
              <w:rPr>
                <w:rFonts w:asciiTheme="majorHAnsi" w:hAnsiTheme="majorHAnsi" w:cstheme="majorHAnsi"/>
                <w:szCs w:val="28"/>
                <w:lang w:val="en-US"/>
              </w:rPr>
              <w:t>Cục Cảnh sát PCCC&amp;CNCH- Bộ Công an hoặc Phòng Cảnh sát PCCC&amp;CNCH</w:t>
            </w:r>
            <w:r w:rsidR="004C629D" w:rsidRPr="00361BB3">
              <w:rPr>
                <w:rFonts w:asciiTheme="majorHAnsi" w:hAnsiTheme="majorHAnsi" w:cstheme="majorHAnsi"/>
                <w:szCs w:val="28"/>
                <w:lang w:val="en-US"/>
              </w:rPr>
              <w:t xml:space="preserve">-CATP để thẩm duyệt; gửi </w:t>
            </w:r>
            <w:r w:rsidRPr="00361BB3">
              <w:rPr>
                <w:rFonts w:asciiTheme="majorHAnsi" w:hAnsiTheme="majorHAnsi" w:cstheme="majorHAnsi"/>
                <w:szCs w:val="28"/>
                <w:lang w:val="en-US"/>
              </w:rPr>
              <w:t>UBND quận/huyện chủ trì thẩm định và phê duyệt</w:t>
            </w:r>
            <w:r w:rsidR="001062FA" w:rsidRPr="00361BB3">
              <w:rPr>
                <w:rFonts w:asciiTheme="majorHAnsi" w:hAnsiTheme="majorHAnsi" w:cstheme="majorHAnsi"/>
                <w:szCs w:val="28"/>
                <w:lang w:val="en-US"/>
              </w:rPr>
              <w:t xml:space="preserve">. </w:t>
            </w:r>
          </w:p>
        </w:tc>
        <w:tc>
          <w:tcPr>
            <w:tcW w:w="2126" w:type="dxa"/>
          </w:tcPr>
          <w:p w:rsidR="00293109" w:rsidRPr="00361BB3" w:rsidRDefault="00293109"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 xml:space="preserve">UBND quận/huyện, </w:t>
            </w:r>
          </w:p>
          <w:p w:rsidR="00D579F4" w:rsidRPr="00361BB3" w:rsidRDefault="002A6AE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Cục Cảnh sát PCCC&amp;CNCH- Bộ</w:t>
            </w:r>
            <w:r w:rsidR="001121AF" w:rsidRPr="00361BB3">
              <w:rPr>
                <w:rFonts w:asciiTheme="majorHAnsi" w:hAnsiTheme="majorHAnsi" w:cstheme="majorHAnsi"/>
                <w:szCs w:val="28"/>
                <w:lang w:val="en-US"/>
              </w:rPr>
              <w:t xml:space="preserve"> Công an hoặc </w:t>
            </w:r>
            <w:r w:rsidRPr="00361BB3">
              <w:rPr>
                <w:rFonts w:asciiTheme="majorHAnsi" w:hAnsiTheme="majorHAnsi" w:cstheme="majorHAnsi"/>
                <w:szCs w:val="28"/>
                <w:lang w:val="en-US"/>
              </w:rPr>
              <w:t>Phòng Cảnh sát PCCC&amp;CNCH-CATP</w:t>
            </w: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 xml:space="preserve">2.2. </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Trường hợp 2: Quy hoạch chi tiết tỷ lệ 1/500 Dự án do UBND thành phố phê duyệt (Dự án trên địa bàn 02 quận, huyện trở lên hoặc khu vực có ý nghĩa quan trọng) </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Nhiệm vụ quy hoạch</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NĐT lập nhiệm vụ quy hoạch, gửi Sở XD chủ trì thẩm định và trình UBND thành phố phê duyệt</w:t>
            </w:r>
          </w:p>
        </w:tc>
        <w:tc>
          <w:tcPr>
            <w:tcW w:w="2126" w:type="dxa"/>
          </w:tcPr>
          <w:p w:rsidR="00D579F4" w:rsidRPr="00361BB3" w:rsidRDefault="002A6AE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Sở XD</w:t>
            </w: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Đồ án quy hoạch</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NĐT lập đồ án quy hoạch, </w:t>
            </w:r>
            <w:r w:rsidR="00293109" w:rsidRPr="00361BB3">
              <w:rPr>
                <w:rFonts w:asciiTheme="majorHAnsi" w:hAnsiTheme="majorHAnsi" w:cstheme="majorHAnsi"/>
                <w:szCs w:val="28"/>
                <w:lang w:val="en-US"/>
              </w:rPr>
              <w:t xml:space="preserve">gửi Cục Cảnh sát PCCC&amp;CNCH- Bộ Công an hoặc Phòng Cảnh sát PCCC&amp;CNCH-CATP để thẩm duyệt; </w:t>
            </w:r>
            <w:r w:rsidRPr="00361BB3">
              <w:rPr>
                <w:rFonts w:asciiTheme="majorHAnsi" w:hAnsiTheme="majorHAnsi" w:cstheme="majorHAnsi"/>
                <w:szCs w:val="28"/>
                <w:lang w:val="en-US"/>
              </w:rPr>
              <w:t>gửi Sở XD chủ trì thẩm định và trình UBND thành phố phê duyệt</w:t>
            </w:r>
          </w:p>
        </w:tc>
        <w:tc>
          <w:tcPr>
            <w:tcW w:w="2126" w:type="dxa"/>
          </w:tcPr>
          <w:p w:rsidR="001121AF" w:rsidRPr="00361BB3" w:rsidRDefault="001121AF"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 xml:space="preserve">Sở XD </w:t>
            </w:r>
          </w:p>
          <w:p w:rsidR="00D579F4" w:rsidRPr="00361BB3" w:rsidRDefault="00293109"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Cục Cảnh sát PCCC&amp;CNCH- Bộ</w:t>
            </w:r>
            <w:r w:rsidR="001121AF" w:rsidRPr="00361BB3">
              <w:rPr>
                <w:rFonts w:asciiTheme="majorHAnsi" w:hAnsiTheme="majorHAnsi" w:cstheme="majorHAnsi"/>
                <w:szCs w:val="28"/>
                <w:lang w:val="en-US"/>
              </w:rPr>
              <w:t xml:space="preserve"> Công an hoặc </w:t>
            </w:r>
            <w:r w:rsidRPr="00361BB3">
              <w:rPr>
                <w:rFonts w:asciiTheme="majorHAnsi" w:hAnsiTheme="majorHAnsi" w:cstheme="majorHAnsi"/>
                <w:szCs w:val="28"/>
                <w:lang w:val="en-US"/>
              </w:rPr>
              <w:t>Phòng Cảnh sát PCCC&amp;CNCH-CATP</w:t>
            </w: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b/>
                <w:szCs w:val="28"/>
                <w:lang w:val="en-US"/>
              </w:rPr>
            </w:pPr>
            <w:r w:rsidRPr="00361BB3">
              <w:rPr>
                <w:rFonts w:asciiTheme="majorHAnsi" w:hAnsiTheme="majorHAnsi" w:cstheme="majorHAnsi"/>
                <w:b/>
                <w:szCs w:val="28"/>
                <w:lang w:val="en-US"/>
              </w:rPr>
              <w:t>3</w:t>
            </w:r>
          </w:p>
        </w:tc>
        <w:tc>
          <w:tcPr>
            <w:tcW w:w="4321" w:type="dxa"/>
          </w:tcPr>
          <w:p w:rsidR="00D579F4" w:rsidRPr="00361BB3" w:rsidRDefault="00D579F4" w:rsidP="00361BB3">
            <w:pPr>
              <w:spacing w:before="60" w:after="60"/>
              <w:jc w:val="both"/>
              <w:rPr>
                <w:rFonts w:asciiTheme="majorHAnsi" w:hAnsiTheme="majorHAnsi" w:cstheme="majorHAnsi"/>
                <w:b/>
                <w:szCs w:val="28"/>
                <w:lang w:val="en-US"/>
              </w:rPr>
            </w:pPr>
            <w:r w:rsidRPr="00361BB3">
              <w:rPr>
                <w:rFonts w:asciiTheme="majorHAnsi" w:hAnsiTheme="majorHAnsi" w:cstheme="majorHAnsi"/>
                <w:b/>
                <w:szCs w:val="28"/>
                <w:lang w:val="en-US"/>
              </w:rPr>
              <w:t>Đất đai</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p>
        </w:tc>
      </w:tr>
      <w:tr w:rsidR="00D579F4" w:rsidRPr="003E59C4"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3.1.</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Thu hồi đất, </w:t>
            </w:r>
            <w:r w:rsidR="005E66CD" w:rsidRPr="00361BB3">
              <w:rPr>
                <w:rFonts w:asciiTheme="majorHAnsi" w:hAnsiTheme="majorHAnsi" w:cstheme="majorHAnsi"/>
                <w:szCs w:val="28"/>
                <w:lang w:val="en-US"/>
              </w:rPr>
              <w:t xml:space="preserve">bồi thường, </w:t>
            </w:r>
            <w:r w:rsidRPr="00361BB3">
              <w:rPr>
                <w:rFonts w:asciiTheme="majorHAnsi" w:hAnsiTheme="majorHAnsi" w:cstheme="majorHAnsi"/>
                <w:szCs w:val="28"/>
                <w:lang w:val="en-US"/>
              </w:rPr>
              <w:t xml:space="preserve">giải phóng mặt bằng (trừ </w:t>
            </w:r>
            <w:r w:rsidR="007C12EF" w:rsidRPr="00361BB3">
              <w:rPr>
                <w:rFonts w:asciiTheme="majorHAnsi" w:hAnsiTheme="majorHAnsi" w:cstheme="majorHAnsi"/>
                <w:szCs w:val="28"/>
                <w:lang w:val="en-US"/>
              </w:rPr>
              <w:t>dự án áp dụng hình thức</w:t>
            </w:r>
            <w:r w:rsidRPr="00361BB3">
              <w:rPr>
                <w:rFonts w:asciiTheme="majorHAnsi" w:hAnsiTheme="majorHAnsi" w:cstheme="majorHAnsi"/>
                <w:szCs w:val="28"/>
                <w:lang w:val="en-US"/>
              </w:rPr>
              <w:t xml:space="preserve"> </w:t>
            </w:r>
            <w:r w:rsidR="00BF70F1">
              <w:rPr>
                <w:rFonts w:asciiTheme="majorHAnsi" w:hAnsiTheme="majorHAnsi" w:cstheme="majorHAnsi"/>
                <w:szCs w:val="28"/>
                <w:lang w:val="en-US"/>
              </w:rPr>
              <w:t xml:space="preserve">lựa chọn NĐT là </w:t>
            </w:r>
            <w:r w:rsidRPr="00361BB3">
              <w:rPr>
                <w:rFonts w:asciiTheme="majorHAnsi" w:hAnsiTheme="majorHAnsi" w:cstheme="majorHAnsi"/>
                <w:szCs w:val="28"/>
                <w:lang w:val="en-US"/>
              </w:rPr>
              <w:t>đấu giá</w:t>
            </w:r>
            <w:r w:rsidR="00BF70F1">
              <w:rPr>
                <w:rFonts w:asciiTheme="majorHAnsi" w:hAnsiTheme="majorHAnsi" w:cstheme="majorHAnsi"/>
                <w:szCs w:val="28"/>
                <w:lang w:val="en-US"/>
              </w:rPr>
              <w:t xml:space="preserve"> quyền sử dụng đất</w:t>
            </w:r>
            <w:r w:rsidRPr="00361BB3">
              <w:rPr>
                <w:rFonts w:asciiTheme="majorHAnsi" w:hAnsiTheme="majorHAnsi" w:cstheme="majorHAnsi"/>
                <w:szCs w:val="28"/>
                <w:lang w:val="en-US"/>
              </w:rPr>
              <w:t>)</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p>
        </w:tc>
      </w:tr>
      <w:tr w:rsidR="00D579F4" w:rsidRPr="003E59C4"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Lập trích đo, trích lục địa chính khu đất thực hiện </w:t>
            </w:r>
            <w:r w:rsidR="0077632B" w:rsidRPr="00361BB3">
              <w:rPr>
                <w:rFonts w:asciiTheme="majorHAnsi" w:hAnsiTheme="majorHAnsi" w:cstheme="majorHAnsi"/>
                <w:szCs w:val="28"/>
                <w:lang w:val="en-US"/>
              </w:rPr>
              <w:t xml:space="preserve">dự án </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Đối với khu vực đã có bản đồ địa chính, NĐT </w:t>
            </w:r>
            <w:r w:rsidR="001B52B4" w:rsidRPr="00361BB3">
              <w:rPr>
                <w:rFonts w:asciiTheme="majorHAnsi" w:hAnsiTheme="majorHAnsi" w:cstheme="majorHAnsi"/>
                <w:szCs w:val="28"/>
                <w:lang w:val="en-US"/>
              </w:rPr>
              <w:t>liên hệ với Sở TNMT để</w:t>
            </w:r>
            <w:r w:rsidRPr="00361BB3">
              <w:rPr>
                <w:rFonts w:asciiTheme="majorHAnsi" w:hAnsiTheme="majorHAnsi" w:cstheme="majorHAnsi"/>
                <w:szCs w:val="28"/>
                <w:lang w:val="en-US"/>
              </w:rPr>
              <w:t xml:space="preserve"> trích lục địa chính khu đất.</w:t>
            </w:r>
          </w:p>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Đối với khu vực chưa có bản đồ địa chính, NĐT lập trích đo địa chính, gửi Sở TNMT thẩm định, phê duyệt.</w:t>
            </w: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Sở TNMT</w:t>
            </w:r>
          </w:p>
        </w:tc>
      </w:tr>
      <w:tr w:rsidR="00D579F4" w:rsidRPr="00184A8E"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Thu hồi đất, </w:t>
            </w:r>
            <w:r w:rsidR="0077632B" w:rsidRPr="00361BB3">
              <w:rPr>
                <w:rFonts w:asciiTheme="majorHAnsi" w:hAnsiTheme="majorHAnsi" w:cstheme="majorHAnsi"/>
                <w:szCs w:val="28"/>
                <w:lang w:val="en-US"/>
              </w:rPr>
              <w:t xml:space="preserve">bồi thường, </w:t>
            </w:r>
            <w:r w:rsidRPr="00361BB3">
              <w:rPr>
                <w:rFonts w:asciiTheme="majorHAnsi" w:hAnsiTheme="majorHAnsi" w:cstheme="majorHAnsi"/>
                <w:szCs w:val="28"/>
                <w:lang w:val="en-US"/>
              </w:rPr>
              <w:t>giải phóng mặt bằng</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NĐT </w:t>
            </w:r>
            <w:r w:rsidR="00B431A2" w:rsidRPr="00361BB3">
              <w:rPr>
                <w:rFonts w:asciiTheme="majorHAnsi" w:hAnsiTheme="majorHAnsi" w:cstheme="majorHAnsi"/>
                <w:szCs w:val="28"/>
                <w:lang w:val="en-US"/>
              </w:rPr>
              <w:t>đăng ký</w:t>
            </w:r>
            <w:r w:rsidRPr="00361BB3">
              <w:rPr>
                <w:rFonts w:asciiTheme="majorHAnsi" w:hAnsiTheme="majorHAnsi" w:cstheme="majorHAnsi"/>
                <w:szCs w:val="28"/>
                <w:lang w:val="en-US"/>
              </w:rPr>
              <w:t xml:space="preserve"> với UBND quận/huyện </w:t>
            </w:r>
            <w:r w:rsidR="00B431A2" w:rsidRPr="00361BB3">
              <w:rPr>
                <w:rFonts w:asciiTheme="majorHAnsi" w:hAnsiTheme="majorHAnsi" w:cstheme="majorHAnsi"/>
                <w:szCs w:val="28"/>
                <w:lang w:val="en-US"/>
              </w:rPr>
              <w:t xml:space="preserve">để </w:t>
            </w:r>
            <w:r w:rsidR="00783B34" w:rsidRPr="00361BB3">
              <w:rPr>
                <w:rFonts w:asciiTheme="majorHAnsi" w:hAnsiTheme="majorHAnsi" w:cstheme="majorHAnsi"/>
                <w:szCs w:val="28"/>
                <w:lang w:val="en-US"/>
              </w:rPr>
              <w:t>đăng ký</w:t>
            </w:r>
            <w:r w:rsidRPr="00361BB3">
              <w:rPr>
                <w:rFonts w:asciiTheme="majorHAnsi" w:hAnsiTheme="majorHAnsi" w:cstheme="majorHAnsi"/>
                <w:szCs w:val="28"/>
                <w:lang w:val="en-US"/>
              </w:rPr>
              <w:t xml:space="preserve"> dự</w:t>
            </w:r>
            <w:r w:rsidR="00B431A2" w:rsidRPr="00361BB3">
              <w:rPr>
                <w:rFonts w:asciiTheme="majorHAnsi" w:hAnsiTheme="majorHAnsi" w:cstheme="majorHAnsi"/>
                <w:szCs w:val="28"/>
                <w:lang w:val="en-US"/>
              </w:rPr>
              <w:t xml:space="preserve"> án vào</w:t>
            </w:r>
            <w:r w:rsidRPr="00361BB3">
              <w:rPr>
                <w:rFonts w:asciiTheme="majorHAnsi" w:hAnsiTheme="majorHAnsi" w:cstheme="majorHAnsi"/>
                <w:szCs w:val="28"/>
                <w:lang w:val="en-US"/>
              </w:rPr>
              <w:t xml:space="preserve"> Danh mục các dự án cần thu hồi đất và chuyển mục đích sử dụng đất </w:t>
            </w:r>
            <w:r w:rsidR="0077632B" w:rsidRPr="00361BB3">
              <w:rPr>
                <w:rFonts w:asciiTheme="majorHAnsi" w:hAnsiTheme="majorHAnsi" w:cstheme="majorHAnsi"/>
                <w:szCs w:val="28"/>
                <w:lang w:val="en-US"/>
              </w:rPr>
              <w:t>trồ</w:t>
            </w:r>
            <w:r w:rsidR="00341D97">
              <w:rPr>
                <w:rFonts w:asciiTheme="majorHAnsi" w:hAnsiTheme="majorHAnsi" w:cstheme="majorHAnsi"/>
                <w:szCs w:val="28"/>
                <w:lang w:val="en-US"/>
              </w:rPr>
              <w:t xml:space="preserve">ng lúa </w:t>
            </w:r>
            <w:r w:rsidR="00ED4A7A" w:rsidRPr="00361BB3">
              <w:rPr>
                <w:rFonts w:asciiTheme="majorHAnsi" w:hAnsiTheme="majorHAnsi" w:cstheme="majorHAnsi"/>
                <w:szCs w:val="28"/>
                <w:lang w:val="en-US"/>
              </w:rPr>
              <w:t>thuộc trường hợp phải được HĐND thành phố thông qua</w:t>
            </w:r>
            <w:r w:rsidR="00BC5F9E" w:rsidRPr="00361BB3">
              <w:rPr>
                <w:rFonts w:asciiTheme="majorHAnsi" w:hAnsiTheme="majorHAnsi" w:cstheme="majorHAnsi"/>
                <w:szCs w:val="28"/>
                <w:lang w:val="en-US"/>
              </w:rPr>
              <w:t xml:space="preserve">, </w:t>
            </w:r>
            <w:r w:rsidRPr="00361BB3">
              <w:rPr>
                <w:rFonts w:asciiTheme="majorHAnsi" w:hAnsiTheme="majorHAnsi" w:cstheme="majorHAnsi"/>
                <w:szCs w:val="28"/>
                <w:lang w:val="en-US"/>
              </w:rPr>
              <w:t xml:space="preserve">trình duyệt theo quy định (trừ </w:t>
            </w:r>
            <w:r w:rsidR="00BC5F9E" w:rsidRPr="00361BB3">
              <w:rPr>
                <w:rFonts w:asciiTheme="majorHAnsi" w:hAnsiTheme="majorHAnsi" w:cstheme="majorHAnsi"/>
                <w:szCs w:val="28"/>
                <w:lang w:val="en-US"/>
              </w:rPr>
              <w:t>dự án</w:t>
            </w:r>
            <w:r w:rsidRPr="00361BB3">
              <w:rPr>
                <w:rFonts w:asciiTheme="majorHAnsi" w:hAnsiTheme="majorHAnsi" w:cstheme="majorHAnsi"/>
                <w:szCs w:val="28"/>
                <w:lang w:val="en-US"/>
              </w:rPr>
              <w:t xml:space="preserve"> </w:t>
            </w:r>
            <w:r w:rsidR="003055C6">
              <w:rPr>
                <w:rFonts w:asciiTheme="majorHAnsi" w:hAnsiTheme="majorHAnsi" w:cstheme="majorHAnsi"/>
                <w:szCs w:val="28"/>
                <w:lang w:val="en-US"/>
              </w:rPr>
              <w:t xml:space="preserve">áp dụng hình thức lựa chọn </w:t>
            </w:r>
            <w:r w:rsidR="00BF70F1">
              <w:rPr>
                <w:rFonts w:asciiTheme="majorHAnsi" w:hAnsiTheme="majorHAnsi" w:cstheme="majorHAnsi"/>
                <w:szCs w:val="28"/>
                <w:lang w:val="en-US"/>
              </w:rPr>
              <w:t>NĐT</w:t>
            </w:r>
            <w:r w:rsidR="003055C6">
              <w:rPr>
                <w:rFonts w:asciiTheme="majorHAnsi" w:hAnsiTheme="majorHAnsi" w:cstheme="majorHAnsi"/>
                <w:szCs w:val="28"/>
                <w:lang w:val="en-US"/>
              </w:rPr>
              <w:t xml:space="preserve"> là đấu thầu</w:t>
            </w:r>
            <w:r w:rsidRPr="00361BB3">
              <w:rPr>
                <w:rFonts w:asciiTheme="majorHAnsi" w:hAnsiTheme="majorHAnsi" w:cstheme="majorHAnsi"/>
                <w:szCs w:val="28"/>
                <w:lang w:val="en-US"/>
              </w:rPr>
              <w:t>)</w:t>
            </w:r>
            <w:r w:rsidR="006D2429" w:rsidRPr="00361BB3">
              <w:rPr>
                <w:rFonts w:asciiTheme="majorHAnsi" w:hAnsiTheme="majorHAnsi" w:cstheme="majorHAnsi"/>
                <w:szCs w:val="28"/>
                <w:lang w:val="en-US"/>
              </w:rPr>
              <w:t>.</w:t>
            </w:r>
          </w:p>
          <w:p w:rsidR="00D579F4"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Đối với </w:t>
            </w:r>
            <w:r w:rsidR="00E85938">
              <w:rPr>
                <w:rFonts w:asciiTheme="majorHAnsi" w:hAnsiTheme="majorHAnsi" w:cstheme="majorHAnsi"/>
                <w:szCs w:val="28"/>
                <w:lang w:val="en-US"/>
              </w:rPr>
              <w:t>dự án</w:t>
            </w:r>
            <w:r w:rsidRPr="00361BB3">
              <w:rPr>
                <w:rFonts w:asciiTheme="majorHAnsi" w:hAnsiTheme="majorHAnsi" w:cstheme="majorHAnsi"/>
                <w:szCs w:val="28"/>
                <w:lang w:val="en-US"/>
              </w:rPr>
              <w:t xml:space="preserve"> cần chuyển mục đích sử dụng đất trồng lúa nước 2 vụ trở</w:t>
            </w:r>
            <w:r w:rsidR="00735183" w:rsidRPr="00361BB3">
              <w:rPr>
                <w:rFonts w:asciiTheme="majorHAnsi" w:hAnsiTheme="majorHAnsi" w:cstheme="majorHAnsi"/>
                <w:szCs w:val="28"/>
                <w:lang w:val="en-US"/>
              </w:rPr>
              <w:t xml:space="preserve"> lên </w:t>
            </w:r>
            <w:r w:rsidRPr="00361BB3">
              <w:rPr>
                <w:rFonts w:asciiTheme="majorHAnsi" w:hAnsiTheme="majorHAnsi" w:cstheme="majorHAnsi"/>
                <w:szCs w:val="28"/>
                <w:lang w:val="en-US"/>
              </w:rPr>
              <w:t xml:space="preserve">có diện tích đất trồng lúa nước </w:t>
            </w:r>
            <w:r w:rsidR="00527E56" w:rsidRPr="00361BB3">
              <w:rPr>
                <w:rFonts w:asciiTheme="majorHAnsi" w:hAnsiTheme="majorHAnsi" w:cstheme="majorHAnsi"/>
                <w:szCs w:val="28"/>
                <w:lang w:val="en-US"/>
              </w:rPr>
              <w:t xml:space="preserve">≥ </w:t>
            </w:r>
            <w:r w:rsidRPr="00361BB3">
              <w:rPr>
                <w:rFonts w:asciiTheme="majorHAnsi" w:hAnsiTheme="majorHAnsi" w:cstheme="majorHAnsi"/>
                <w:szCs w:val="28"/>
                <w:lang w:val="en-US"/>
              </w:rPr>
              <w:t>10 ha</w:t>
            </w:r>
            <w:r w:rsidR="00CE6171" w:rsidRPr="00361BB3">
              <w:rPr>
                <w:rFonts w:asciiTheme="majorHAnsi" w:hAnsiTheme="majorHAnsi" w:cstheme="majorHAnsi"/>
                <w:szCs w:val="28"/>
                <w:lang w:val="en-US"/>
              </w:rPr>
              <w:t xml:space="preserve"> và &lt; 500 ha</w:t>
            </w:r>
            <w:r w:rsidR="00E83195" w:rsidRPr="00361BB3">
              <w:rPr>
                <w:rFonts w:asciiTheme="majorHAnsi" w:hAnsiTheme="majorHAnsi" w:cstheme="majorHAnsi"/>
                <w:szCs w:val="28"/>
                <w:lang w:val="en-US"/>
              </w:rPr>
              <w:t xml:space="preserve">, </w:t>
            </w:r>
            <w:r w:rsidR="00EE5E81" w:rsidRPr="00361BB3">
              <w:rPr>
                <w:rFonts w:asciiTheme="majorHAnsi" w:hAnsiTheme="majorHAnsi" w:cstheme="majorHAnsi"/>
                <w:szCs w:val="28"/>
                <w:lang w:val="en-US"/>
              </w:rPr>
              <w:t xml:space="preserve">thuộc trường hợp </w:t>
            </w:r>
            <w:r w:rsidR="000206B6" w:rsidRPr="00361BB3">
              <w:rPr>
                <w:rFonts w:asciiTheme="majorHAnsi" w:hAnsiTheme="majorHAnsi" w:cstheme="majorHAnsi"/>
                <w:szCs w:val="28"/>
                <w:lang w:val="en-US"/>
              </w:rPr>
              <w:t xml:space="preserve">Thủ tướng Chính phủ ủy quyền cho Hội đồng nhân dân Thành phố quyết định chuyển mục đích </w:t>
            </w:r>
            <w:r w:rsidR="000206B6" w:rsidRPr="00361BB3">
              <w:rPr>
                <w:rFonts w:asciiTheme="majorHAnsi" w:hAnsiTheme="majorHAnsi" w:cstheme="majorHAnsi"/>
                <w:szCs w:val="28"/>
                <w:lang w:val="en-US"/>
              </w:rPr>
              <w:lastRenderedPageBreak/>
              <w:t>sử dụng</w:t>
            </w:r>
            <w:r w:rsidRPr="00361BB3">
              <w:rPr>
                <w:rFonts w:asciiTheme="majorHAnsi" w:hAnsiTheme="majorHAnsi" w:cstheme="majorHAnsi"/>
                <w:szCs w:val="28"/>
                <w:lang w:val="en-US"/>
              </w:rPr>
              <w:t xml:space="preserve">: UBND quận/huyện </w:t>
            </w:r>
            <w:r w:rsidR="00783B34" w:rsidRPr="00361BB3">
              <w:rPr>
                <w:rFonts w:asciiTheme="majorHAnsi" w:hAnsiTheme="majorHAnsi" w:cstheme="majorHAnsi"/>
                <w:szCs w:val="28"/>
                <w:lang w:val="en-US"/>
              </w:rPr>
              <w:t xml:space="preserve">tiếp tục </w:t>
            </w:r>
            <w:r w:rsidRPr="00361BB3">
              <w:rPr>
                <w:rFonts w:asciiTheme="majorHAnsi" w:hAnsiTheme="majorHAnsi" w:cstheme="majorHAnsi"/>
                <w:szCs w:val="28"/>
                <w:lang w:val="en-US"/>
              </w:rPr>
              <w:t xml:space="preserve">đăng ký dự án </w:t>
            </w:r>
            <w:r w:rsidR="00783B34" w:rsidRPr="00361BB3">
              <w:rPr>
                <w:rFonts w:asciiTheme="majorHAnsi" w:hAnsiTheme="majorHAnsi" w:cstheme="majorHAnsi"/>
                <w:szCs w:val="28"/>
                <w:lang w:val="en-US"/>
              </w:rPr>
              <w:t>vào</w:t>
            </w:r>
            <w:r w:rsidRPr="00361BB3">
              <w:rPr>
                <w:rFonts w:asciiTheme="majorHAnsi" w:hAnsiTheme="majorHAnsi" w:cstheme="majorHAnsi"/>
                <w:szCs w:val="28"/>
                <w:lang w:val="en-US"/>
              </w:rPr>
              <w:t xml:space="preserve"> Danh mục các Dự án cần chuyển mục đích sử dụng đất trồng lúa </w:t>
            </w:r>
            <w:r w:rsidRPr="00BF70F1">
              <w:rPr>
                <w:rFonts w:asciiTheme="majorHAnsi" w:hAnsiTheme="majorHAnsi" w:cstheme="majorHAnsi"/>
                <w:szCs w:val="28"/>
                <w:lang w:val="en-US"/>
              </w:rPr>
              <w:t>nước 2 vụ trở lên</w:t>
            </w:r>
            <w:r w:rsidR="00783B34" w:rsidRPr="00BF70F1">
              <w:rPr>
                <w:rFonts w:asciiTheme="majorHAnsi" w:hAnsiTheme="majorHAnsi" w:cstheme="majorHAnsi"/>
                <w:szCs w:val="28"/>
                <w:lang w:val="en-US"/>
              </w:rPr>
              <w:t xml:space="preserve">, </w:t>
            </w:r>
            <w:r w:rsidR="006D2429" w:rsidRPr="00BF70F1">
              <w:rPr>
                <w:rFonts w:asciiTheme="majorHAnsi" w:hAnsiTheme="majorHAnsi" w:cstheme="majorHAnsi"/>
                <w:szCs w:val="28"/>
                <w:lang w:val="en-US"/>
              </w:rPr>
              <w:t>trình duyệt theo quy đị</w:t>
            </w:r>
            <w:r w:rsidR="00BF70F1" w:rsidRPr="00BF70F1">
              <w:rPr>
                <w:rFonts w:asciiTheme="majorHAnsi" w:hAnsiTheme="majorHAnsi" w:cstheme="majorHAnsi"/>
                <w:szCs w:val="28"/>
                <w:lang w:val="en-US"/>
              </w:rPr>
              <w:t>nh.</w:t>
            </w:r>
          </w:p>
          <w:p w:rsidR="00EE1934" w:rsidRPr="00361BB3" w:rsidRDefault="00886B9C"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NĐT đăng ký nhu cầu sử dụng đất của dự án với UBND quận/huyện để bổ sung dự án vào Kế hoạch sử dụng đất hàng năm của quận/huyện.</w:t>
            </w:r>
          </w:p>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UBND thành phố và UBND quận/huyện thực hiện các thủ tục thu hồi đất, </w:t>
            </w:r>
            <w:r w:rsidR="004B6DDF" w:rsidRPr="00361BB3">
              <w:rPr>
                <w:rFonts w:asciiTheme="majorHAnsi" w:hAnsiTheme="majorHAnsi" w:cstheme="majorHAnsi"/>
                <w:szCs w:val="28"/>
                <w:lang w:val="en-US"/>
              </w:rPr>
              <w:t xml:space="preserve">kiểm kê, lập, thẩm định, </w:t>
            </w:r>
            <w:r w:rsidRPr="00361BB3">
              <w:rPr>
                <w:rFonts w:asciiTheme="majorHAnsi" w:hAnsiTheme="majorHAnsi" w:cstheme="majorHAnsi"/>
                <w:szCs w:val="28"/>
                <w:lang w:val="en-US"/>
              </w:rPr>
              <w:t>phê duyệt phương án bồi thường, hỗ trợ</w:t>
            </w:r>
            <w:r w:rsidR="004B6DDF" w:rsidRPr="00361BB3">
              <w:rPr>
                <w:rFonts w:asciiTheme="majorHAnsi" w:hAnsiTheme="majorHAnsi" w:cstheme="majorHAnsi"/>
                <w:szCs w:val="28"/>
                <w:lang w:val="en-US"/>
              </w:rPr>
              <w:t>, tái định cư</w:t>
            </w:r>
            <w:r w:rsidRPr="00361BB3">
              <w:rPr>
                <w:rFonts w:asciiTheme="majorHAnsi" w:hAnsiTheme="majorHAnsi" w:cstheme="majorHAnsi"/>
                <w:szCs w:val="28"/>
                <w:lang w:val="en-US"/>
              </w:rPr>
              <w:t xml:space="preserve"> và tiến hành giải phóng mặt bằng </w:t>
            </w:r>
            <w:r w:rsidR="004B6DDF" w:rsidRPr="00361BB3">
              <w:rPr>
                <w:rFonts w:asciiTheme="majorHAnsi" w:hAnsiTheme="majorHAnsi" w:cstheme="majorHAnsi"/>
                <w:szCs w:val="28"/>
                <w:lang w:val="en-US"/>
              </w:rPr>
              <w:t>dự án</w:t>
            </w:r>
            <w:r w:rsidRPr="00361BB3">
              <w:rPr>
                <w:rFonts w:asciiTheme="majorHAnsi" w:hAnsiTheme="majorHAnsi" w:cstheme="majorHAnsi"/>
                <w:szCs w:val="28"/>
                <w:lang w:val="en-US"/>
              </w:rPr>
              <w:t>.</w:t>
            </w:r>
          </w:p>
          <w:p w:rsidR="00BC5375" w:rsidRPr="00FB4365" w:rsidRDefault="00BC5375" w:rsidP="0093653B">
            <w:pPr>
              <w:spacing w:before="60" w:after="60"/>
              <w:jc w:val="both"/>
              <w:rPr>
                <w:rFonts w:asciiTheme="majorHAnsi" w:hAnsiTheme="majorHAnsi" w:cstheme="majorHAnsi"/>
                <w:szCs w:val="28"/>
                <w:lang w:val="en-US"/>
              </w:rPr>
            </w:pPr>
            <w:r w:rsidRPr="0093653B">
              <w:rPr>
                <w:rFonts w:asciiTheme="majorHAnsi" w:hAnsiTheme="majorHAnsi" w:cstheme="majorHAnsi"/>
                <w:szCs w:val="28"/>
                <w:lang w:val="en-US"/>
              </w:rPr>
              <w:t xml:space="preserve">- </w:t>
            </w:r>
            <w:r w:rsidR="00965EF3" w:rsidRPr="0093653B">
              <w:rPr>
                <w:rFonts w:asciiTheme="majorHAnsi" w:hAnsiTheme="majorHAnsi" w:cstheme="majorHAnsi"/>
                <w:szCs w:val="28"/>
              </w:rPr>
              <w:t>Đ</w:t>
            </w:r>
            <w:r w:rsidRPr="0093653B">
              <w:rPr>
                <w:rFonts w:asciiTheme="majorHAnsi" w:hAnsiTheme="majorHAnsi" w:cstheme="majorHAnsi"/>
                <w:szCs w:val="28"/>
              </w:rPr>
              <w:t xml:space="preserve">ối với </w:t>
            </w:r>
            <w:r w:rsidR="00965EF3" w:rsidRPr="0093653B">
              <w:rPr>
                <w:rFonts w:asciiTheme="majorHAnsi" w:hAnsiTheme="majorHAnsi" w:cstheme="majorHAnsi"/>
                <w:szCs w:val="28"/>
              </w:rPr>
              <w:t>d</w:t>
            </w:r>
            <w:r w:rsidRPr="0093653B">
              <w:rPr>
                <w:rFonts w:asciiTheme="majorHAnsi" w:hAnsiTheme="majorHAnsi" w:cstheme="majorHAnsi"/>
                <w:szCs w:val="28"/>
              </w:rPr>
              <w:t>ự án có nhu cầu chuyển đổi mục đích sử dụng đất chuyên trồ</w:t>
            </w:r>
            <w:r w:rsidR="00965EF3" w:rsidRPr="0093653B">
              <w:rPr>
                <w:rFonts w:asciiTheme="majorHAnsi" w:hAnsiTheme="majorHAnsi" w:cstheme="majorHAnsi"/>
                <w:szCs w:val="28"/>
              </w:rPr>
              <w:t xml:space="preserve">ng lúa, NĐT </w:t>
            </w:r>
            <w:r w:rsidRPr="0093653B">
              <w:rPr>
                <w:rFonts w:asciiTheme="majorHAnsi" w:hAnsiTheme="majorHAnsi" w:cstheme="majorHAnsi"/>
                <w:szCs w:val="28"/>
              </w:rPr>
              <w:t>liên hệ Sở NN&amp;PTNT hướng dẫn lập phương án sử dụng tầng đất mặt theo quy định của pháp luật về trồng trọ</w:t>
            </w:r>
            <w:r w:rsidR="00CA650B" w:rsidRPr="0093653B">
              <w:rPr>
                <w:rFonts w:asciiTheme="majorHAnsi" w:hAnsiTheme="majorHAnsi" w:cstheme="majorHAnsi"/>
                <w:szCs w:val="28"/>
              </w:rPr>
              <w:t>t.</w:t>
            </w:r>
            <w:r w:rsidR="00FB4365">
              <w:rPr>
                <w:rFonts w:asciiTheme="majorHAnsi" w:hAnsiTheme="majorHAnsi" w:cstheme="majorHAnsi"/>
                <w:szCs w:val="28"/>
                <w:lang w:val="en-US"/>
              </w:rPr>
              <w:t xml:space="preserve"> </w:t>
            </w: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UBND</w:t>
            </w:r>
            <w:r w:rsidR="000348AF" w:rsidRPr="00361BB3">
              <w:rPr>
                <w:rFonts w:asciiTheme="majorHAnsi" w:hAnsiTheme="majorHAnsi" w:cstheme="majorHAnsi"/>
                <w:szCs w:val="28"/>
                <w:lang w:val="en-US"/>
              </w:rPr>
              <w:t xml:space="preserve"> </w:t>
            </w:r>
            <w:r w:rsidRPr="00361BB3">
              <w:rPr>
                <w:rFonts w:asciiTheme="majorHAnsi" w:hAnsiTheme="majorHAnsi" w:cstheme="majorHAnsi"/>
                <w:szCs w:val="28"/>
                <w:lang w:val="en-US"/>
              </w:rPr>
              <w:t>quận/huyện</w:t>
            </w: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CA650B" w:rsidP="00361BB3">
            <w:pPr>
              <w:spacing w:before="60" w:after="60"/>
              <w:jc w:val="center"/>
              <w:rPr>
                <w:rFonts w:asciiTheme="majorHAnsi" w:hAnsiTheme="majorHAnsi" w:cstheme="majorHAnsi"/>
                <w:szCs w:val="28"/>
                <w:lang w:val="en-US"/>
              </w:rPr>
            </w:pPr>
          </w:p>
          <w:p w:rsidR="00CA650B" w:rsidRPr="00361BB3" w:rsidRDefault="002B5405" w:rsidP="00361BB3">
            <w:pPr>
              <w:spacing w:before="60" w:after="60"/>
              <w:jc w:val="center"/>
              <w:rPr>
                <w:rFonts w:asciiTheme="majorHAnsi" w:hAnsiTheme="majorHAnsi" w:cstheme="majorHAnsi"/>
                <w:szCs w:val="28"/>
                <w:lang w:val="en-US"/>
              </w:rPr>
            </w:pPr>
            <w:r>
              <w:rPr>
                <w:rFonts w:asciiTheme="majorHAnsi" w:hAnsiTheme="majorHAnsi" w:cstheme="majorHAnsi"/>
                <w:szCs w:val="28"/>
                <w:lang w:val="en-US"/>
              </w:rPr>
              <w:t>S</w:t>
            </w:r>
            <w:r w:rsidR="00CA650B" w:rsidRPr="00361BB3">
              <w:rPr>
                <w:rFonts w:asciiTheme="majorHAnsi" w:hAnsiTheme="majorHAnsi" w:cstheme="majorHAnsi"/>
                <w:szCs w:val="28"/>
              </w:rPr>
              <w:t>ở NN&amp;PTNT</w:t>
            </w:r>
          </w:p>
        </w:tc>
      </w:tr>
      <w:tr w:rsidR="00D579F4" w:rsidRPr="002C1466" w:rsidTr="00DA2FF8">
        <w:tc>
          <w:tcPr>
            <w:tcW w:w="562" w:type="dxa"/>
            <w:shd w:val="clear" w:color="auto" w:fill="auto"/>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3.2</w:t>
            </w:r>
          </w:p>
        </w:tc>
        <w:tc>
          <w:tcPr>
            <w:tcW w:w="4321" w:type="dxa"/>
            <w:shd w:val="clear" w:color="auto" w:fill="auto"/>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Giao đất, cho thuê đất</w:t>
            </w:r>
          </w:p>
        </w:tc>
        <w:tc>
          <w:tcPr>
            <w:tcW w:w="7087" w:type="dxa"/>
            <w:shd w:val="clear" w:color="auto" w:fill="auto"/>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NĐT nộp hồ sơ xin giao đất, thuê đấ</w:t>
            </w:r>
            <w:r w:rsidR="009B1BA3" w:rsidRPr="00361BB3">
              <w:rPr>
                <w:rFonts w:asciiTheme="majorHAnsi" w:hAnsiTheme="majorHAnsi" w:cstheme="majorHAnsi"/>
                <w:szCs w:val="28"/>
                <w:lang w:val="en-US"/>
              </w:rPr>
              <w:t xml:space="preserve">t </w:t>
            </w:r>
            <w:r w:rsidRPr="00361BB3">
              <w:rPr>
                <w:rFonts w:asciiTheme="majorHAnsi" w:hAnsiTheme="majorHAnsi" w:cstheme="majorHAnsi"/>
                <w:szCs w:val="28"/>
                <w:lang w:val="en-US"/>
              </w:rPr>
              <w:t>tại Sở TNMT.</w:t>
            </w:r>
          </w:p>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Sở TNMT thẩm định hồ sơ xin giao đất, thuê đấ</w:t>
            </w:r>
            <w:r w:rsidR="00263AF4" w:rsidRPr="00361BB3">
              <w:rPr>
                <w:rFonts w:asciiTheme="majorHAnsi" w:hAnsiTheme="majorHAnsi" w:cstheme="majorHAnsi"/>
                <w:szCs w:val="28"/>
                <w:lang w:val="en-US"/>
              </w:rPr>
              <w:t>t;</w:t>
            </w:r>
            <w:r w:rsidR="00CB0C22" w:rsidRPr="00361BB3">
              <w:rPr>
                <w:rFonts w:asciiTheme="majorHAnsi" w:hAnsiTheme="majorHAnsi" w:cstheme="majorHAnsi"/>
                <w:szCs w:val="28"/>
                <w:lang w:val="en-US"/>
              </w:rPr>
              <w:t xml:space="preserve"> xác định giá đất cụ thể để tính tiền sử dụng đất, tiền thuê đất</w:t>
            </w:r>
            <w:r w:rsidR="00263AF4" w:rsidRPr="00361BB3">
              <w:rPr>
                <w:rFonts w:asciiTheme="majorHAnsi" w:hAnsiTheme="majorHAnsi" w:cstheme="majorHAnsi"/>
                <w:szCs w:val="28"/>
                <w:lang w:val="en-US"/>
              </w:rPr>
              <w:t xml:space="preserve">, </w:t>
            </w:r>
            <w:r w:rsidRPr="00361BB3">
              <w:rPr>
                <w:rFonts w:asciiTheme="majorHAnsi" w:hAnsiTheme="majorHAnsi" w:cstheme="majorHAnsi"/>
                <w:szCs w:val="28"/>
                <w:lang w:val="en-US"/>
              </w:rPr>
              <w:t xml:space="preserve">trình Hội đồng thẩm định giá đất thành phố </w:t>
            </w:r>
            <w:r w:rsidR="00263AF4" w:rsidRPr="00361BB3">
              <w:rPr>
                <w:rFonts w:asciiTheme="majorHAnsi" w:hAnsiTheme="majorHAnsi" w:cstheme="majorHAnsi"/>
                <w:szCs w:val="28"/>
                <w:lang w:val="en-US"/>
              </w:rPr>
              <w:t>xem xét</w:t>
            </w:r>
            <w:r w:rsidRPr="00361BB3">
              <w:rPr>
                <w:rFonts w:asciiTheme="majorHAnsi" w:hAnsiTheme="majorHAnsi" w:cstheme="majorHAnsi"/>
                <w:szCs w:val="28"/>
                <w:lang w:val="en-US"/>
              </w:rPr>
              <w:t>.</w:t>
            </w:r>
          </w:p>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Sở TNMT trình UBND thành phố phê duyệt Quyết định giao đất, cho thuê đất và </w:t>
            </w:r>
            <w:r w:rsidR="00132789" w:rsidRPr="00361BB3">
              <w:rPr>
                <w:rFonts w:asciiTheme="majorHAnsi" w:hAnsiTheme="majorHAnsi" w:cstheme="majorHAnsi"/>
                <w:szCs w:val="28"/>
                <w:lang w:val="en-US"/>
              </w:rPr>
              <w:t>giá đất cụ thể để tính tiền sử dụng đất, tiền thuê đất</w:t>
            </w:r>
            <w:r w:rsidRPr="00361BB3">
              <w:rPr>
                <w:rFonts w:asciiTheme="majorHAnsi" w:hAnsiTheme="majorHAnsi" w:cstheme="majorHAnsi"/>
                <w:szCs w:val="28"/>
                <w:lang w:val="en-US"/>
              </w:rPr>
              <w:t>.</w:t>
            </w:r>
          </w:p>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Sở</w:t>
            </w:r>
            <w:r w:rsidR="00986968" w:rsidRPr="00361BB3">
              <w:rPr>
                <w:rFonts w:asciiTheme="majorHAnsi" w:hAnsiTheme="majorHAnsi" w:cstheme="majorHAnsi"/>
                <w:szCs w:val="28"/>
                <w:lang w:val="en-US"/>
              </w:rPr>
              <w:t xml:space="preserve"> TNMT </w:t>
            </w:r>
            <w:r w:rsidRPr="00361BB3">
              <w:rPr>
                <w:rFonts w:asciiTheme="majorHAnsi" w:hAnsiTheme="majorHAnsi" w:cstheme="majorHAnsi"/>
                <w:szCs w:val="28"/>
                <w:lang w:val="en-US"/>
              </w:rPr>
              <w:t>chuyển thông tin địa chính đến Cục Thuế TP</w:t>
            </w:r>
            <w:r w:rsidR="00986968" w:rsidRPr="00361BB3">
              <w:rPr>
                <w:rFonts w:asciiTheme="majorHAnsi" w:hAnsiTheme="majorHAnsi" w:cstheme="majorHAnsi"/>
                <w:szCs w:val="28"/>
                <w:lang w:val="en-US"/>
              </w:rPr>
              <w:t xml:space="preserve"> để xác định nghĩa vụ tài chính về đất đai.</w:t>
            </w:r>
          </w:p>
        </w:tc>
        <w:tc>
          <w:tcPr>
            <w:tcW w:w="2126" w:type="dxa"/>
            <w:shd w:val="clear" w:color="auto" w:fill="auto"/>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Sở TNMT</w:t>
            </w:r>
          </w:p>
        </w:tc>
      </w:tr>
      <w:tr w:rsidR="00D579F4"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3.3</w:t>
            </w: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Nộp tiền sử dụng đất, tiền thuê đất</w:t>
            </w:r>
            <w:r w:rsidR="00FA628E" w:rsidRPr="00361BB3">
              <w:rPr>
                <w:rFonts w:asciiTheme="majorHAnsi" w:hAnsiTheme="majorHAnsi" w:cstheme="majorHAnsi"/>
                <w:szCs w:val="28"/>
                <w:lang w:val="en-US"/>
              </w:rPr>
              <w:t xml:space="preserve"> và bàn giao đất trên thực địa cho NĐT</w:t>
            </w:r>
          </w:p>
        </w:tc>
        <w:tc>
          <w:tcPr>
            <w:tcW w:w="7087" w:type="dxa"/>
          </w:tcPr>
          <w:p w:rsidR="00247CE3" w:rsidRPr="00361BB3" w:rsidRDefault="000E44E0"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w:t>
            </w:r>
            <w:r w:rsidR="00D579F4" w:rsidRPr="00361BB3">
              <w:rPr>
                <w:rFonts w:asciiTheme="majorHAnsi" w:hAnsiTheme="majorHAnsi" w:cstheme="majorHAnsi"/>
                <w:szCs w:val="28"/>
                <w:lang w:val="en-US"/>
              </w:rPr>
              <w:t xml:space="preserve">Cục Thuế TP và Chi cục Thuế </w:t>
            </w:r>
            <w:r w:rsidR="002A1380" w:rsidRPr="00361BB3">
              <w:rPr>
                <w:rFonts w:asciiTheme="majorHAnsi" w:hAnsiTheme="majorHAnsi" w:cstheme="majorHAnsi"/>
                <w:szCs w:val="28"/>
                <w:lang w:val="en-US"/>
              </w:rPr>
              <w:t>khu vực, huyệ</w:t>
            </w:r>
            <w:r w:rsidR="00AE1314" w:rsidRPr="00361BB3">
              <w:rPr>
                <w:rFonts w:asciiTheme="majorHAnsi" w:hAnsiTheme="majorHAnsi" w:cstheme="majorHAnsi"/>
                <w:szCs w:val="28"/>
                <w:lang w:val="en-US"/>
              </w:rPr>
              <w:t>n</w:t>
            </w:r>
            <w:r w:rsidR="00D579F4" w:rsidRPr="00361BB3">
              <w:rPr>
                <w:rFonts w:asciiTheme="majorHAnsi" w:hAnsiTheme="majorHAnsi" w:cstheme="majorHAnsi"/>
                <w:szCs w:val="28"/>
                <w:lang w:val="en-US"/>
              </w:rPr>
              <w:t xml:space="preserve"> </w:t>
            </w:r>
            <w:r w:rsidRPr="00361BB3">
              <w:rPr>
                <w:rFonts w:asciiTheme="majorHAnsi" w:hAnsiTheme="majorHAnsi" w:cstheme="majorHAnsi"/>
                <w:szCs w:val="28"/>
                <w:lang w:val="en-US"/>
              </w:rPr>
              <w:t xml:space="preserve">(nơi thực hiện dự án) </w:t>
            </w:r>
            <w:r w:rsidR="00D579F4" w:rsidRPr="00361BB3">
              <w:rPr>
                <w:rFonts w:asciiTheme="majorHAnsi" w:hAnsiTheme="majorHAnsi" w:cstheme="majorHAnsi"/>
                <w:szCs w:val="28"/>
                <w:lang w:val="en-US"/>
              </w:rPr>
              <w:t xml:space="preserve">xác định nghĩa vụ tài chính, gửi Thông báo </w:t>
            </w:r>
            <w:r w:rsidR="00247CE3" w:rsidRPr="00361BB3">
              <w:rPr>
                <w:rFonts w:asciiTheme="majorHAnsi" w:hAnsiTheme="majorHAnsi" w:cstheme="majorHAnsi"/>
                <w:szCs w:val="28"/>
                <w:lang w:val="en-US"/>
              </w:rPr>
              <w:t>đến</w:t>
            </w:r>
            <w:r w:rsidR="00D579F4" w:rsidRPr="00361BB3">
              <w:rPr>
                <w:rFonts w:asciiTheme="majorHAnsi" w:hAnsiTheme="majorHAnsi" w:cstheme="majorHAnsi"/>
                <w:szCs w:val="28"/>
                <w:lang w:val="en-US"/>
              </w:rPr>
              <w:t xml:space="preserve"> NĐT</w:t>
            </w:r>
            <w:r w:rsidR="00247CE3" w:rsidRPr="00361BB3">
              <w:rPr>
                <w:rFonts w:asciiTheme="majorHAnsi" w:hAnsiTheme="majorHAnsi" w:cstheme="majorHAnsi"/>
                <w:szCs w:val="28"/>
                <w:lang w:val="en-US"/>
              </w:rPr>
              <w:t>.</w:t>
            </w:r>
          </w:p>
          <w:p w:rsidR="000E44E0" w:rsidRPr="00361BB3" w:rsidRDefault="00247CE3"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NĐT</w:t>
            </w:r>
            <w:r w:rsidR="00D579F4" w:rsidRPr="00361BB3">
              <w:rPr>
                <w:rFonts w:asciiTheme="majorHAnsi" w:hAnsiTheme="majorHAnsi" w:cstheme="majorHAnsi"/>
                <w:szCs w:val="28"/>
                <w:lang w:val="en-US"/>
              </w:rPr>
              <w:t xml:space="preserve"> </w:t>
            </w:r>
            <w:r w:rsidR="000E44E0" w:rsidRPr="00361BB3">
              <w:rPr>
                <w:rFonts w:asciiTheme="majorHAnsi" w:hAnsiTheme="majorHAnsi" w:cstheme="majorHAnsi"/>
                <w:szCs w:val="28"/>
                <w:lang w:val="en-US"/>
              </w:rPr>
              <w:t>thực hiện nghĩa vụ tài chính về đ</w:t>
            </w:r>
            <w:r w:rsidRPr="00361BB3">
              <w:rPr>
                <w:rFonts w:asciiTheme="majorHAnsi" w:hAnsiTheme="majorHAnsi" w:cstheme="majorHAnsi"/>
                <w:szCs w:val="28"/>
                <w:lang w:val="en-US"/>
              </w:rPr>
              <w:t>ất</w:t>
            </w:r>
            <w:r w:rsidR="003F168D" w:rsidRPr="00361BB3">
              <w:rPr>
                <w:rFonts w:asciiTheme="majorHAnsi" w:hAnsiTheme="majorHAnsi" w:cstheme="majorHAnsi"/>
                <w:szCs w:val="28"/>
                <w:lang w:val="en-US"/>
              </w:rPr>
              <w:t>.</w:t>
            </w:r>
          </w:p>
          <w:p w:rsidR="00FA628E" w:rsidRPr="00361BB3" w:rsidRDefault="00FC41D8"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lastRenderedPageBreak/>
              <w:t>- Sở TNMT chủ trì cùng các đơn vị liên quan bàn giao đất trên thực địa cho NĐT.</w:t>
            </w: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Cục Thuế TP</w:t>
            </w:r>
          </w:p>
        </w:tc>
      </w:tr>
      <w:tr w:rsidR="00D579F4"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3.4</w:t>
            </w:r>
          </w:p>
        </w:tc>
        <w:tc>
          <w:tcPr>
            <w:tcW w:w="4321" w:type="dxa"/>
          </w:tcPr>
          <w:p w:rsidR="00D579F4" w:rsidRPr="00361BB3" w:rsidRDefault="000C4202"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Ký hợp đồng thuê đất (trường hợp thuê đất), c</w:t>
            </w:r>
            <w:r w:rsidR="00D579F4" w:rsidRPr="00361BB3">
              <w:rPr>
                <w:rFonts w:asciiTheme="majorHAnsi" w:hAnsiTheme="majorHAnsi" w:cstheme="majorHAnsi"/>
                <w:szCs w:val="28"/>
                <w:lang w:val="en-US"/>
              </w:rPr>
              <w:t>ấp Giấy chứng nhận quyền sử dụng đất</w:t>
            </w:r>
          </w:p>
        </w:tc>
        <w:tc>
          <w:tcPr>
            <w:tcW w:w="7087" w:type="dxa"/>
          </w:tcPr>
          <w:p w:rsidR="00262C6A" w:rsidRPr="00361BB3" w:rsidRDefault="00262C6A"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w:t>
            </w:r>
            <w:r w:rsidR="00D579F4" w:rsidRPr="00361BB3">
              <w:rPr>
                <w:rFonts w:asciiTheme="majorHAnsi" w:hAnsiTheme="majorHAnsi" w:cstheme="majorHAnsi"/>
                <w:szCs w:val="28"/>
                <w:lang w:val="en-US"/>
              </w:rPr>
              <w:t>NĐT nộp hồ sơ xin cấp Giấy chứng nhận quyền sử dụng đất tại Sở TNMT</w:t>
            </w:r>
            <w:r w:rsidRPr="00361BB3">
              <w:rPr>
                <w:rFonts w:asciiTheme="majorHAnsi" w:hAnsiTheme="majorHAnsi" w:cstheme="majorHAnsi"/>
                <w:szCs w:val="28"/>
                <w:lang w:val="en-US"/>
              </w:rPr>
              <w:t>.</w:t>
            </w:r>
          </w:p>
          <w:p w:rsidR="002C1466" w:rsidRPr="00361BB3" w:rsidRDefault="00262C6A"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S</w:t>
            </w:r>
            <w:r w:rsidR="00B04B71" w:rsidRPr="00361BB3">
              <w:rPr>
                <w:rFonts w:asciiTheme="majorHAnsi" w:hAnsiTheme="majorHAnsi" w:cstheme="majorHAnsi"/>
                <w:szCs w:val="28"/>
                <w:lang w:val="en-US"/>
              </w:rPr>
              <w:t xml:space="preserve">ở </w:t>
            </w:r>
            <w:r w:rsidRPr="00361BB3">
              <w:rPr>
                <w:rFonts w:asciiTheme="majorHAnsi" w:hAnsiTheme="majorHAnsi" w:cstheme="majorHAnsi"/>
                <w:szCs w:val="28"/>
                <w:lang w:val="en-US"/>
              </w:rPr>
              <w:t>TNMT</w:t>
            </w:r>
            <w:r w:rsidR="00D579F4" w:rsidRPr="00361BB3">
              <w:rPr>
                <w:rFonts w:asciiTheme="majorHAnsi" w:hAnsiTheme="majorHAnsi" w:cstheme="majorHAnsi"/>
                <w:szCs w:val="28"/>
                <w:lang w:val="en-US"/>
              </w:rPr>
              <w:t xml:space="preserve"> </w:t>
            </w:r>
            <w:r w:rsidR="00B04B71" w:rsidRPr="00361BB3">
              <w:rPr>
                <w:rFonts w:asciiTheme="majorHAnsi" w:hAnsiTheme="majorHAnsi" w:cstheme="majorHAnsi"/>
                <w:szCs w:val="28"/>
                <w:lang w:val="en-US"/>
              </w:rPr>
              <w:t>và NĐT ký hợp đồng thuê đất (trường hợp thuê đất)</w:t>
            </w:r>
            <w:r w:rsidR="002C1466" w:rsidRPr="00361BB3">
              <w:rPr>
                <w:rFonts w:asciiTheme="majorHAnsi" w:hAnsiTheme="majorHAnsi" w:cstheme="majorHAnsi"/>
                <w:szCs w:val="28"/>
                <w:lang w:val="en-US"/>
              </w:rPr>
              <w:t>.</w:t>
            </w:r>
          </w:p>
          <w:p w:rsidR="00262C6A" w:rsidRPr="00361BB3" w:rsidRDefault="002C1466"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Sở TNMT</w:t>
            </w:r>
            <w:r w:rsidR="005E369D" w:rsidRPr="00361BB3">
              <w:rPr>
                <w:rFonts w:asciiTheme="majorHAnsi" w:hAnsiTheme="majorHAnsi" w:cstheme="majorHAnsi"/>
                <w:szCs w:val="28"/>
                <w:lang w:val="en-US"/>
              </w:rPr>
              <w:t xml:space="preserve"> </w:t>
            </w:r>
            <w:r w:rsidR="00D579F4" w:rsidRPr="00361BB3">
              <w:rPr>
                <w:rFonts w:asciiTheme="majorHAnsi" w:hAnsiTheme="majorHAnsi" w:cstheme="majorHAnsi"/>
                <w:szCs w:val="28"/>
                <w:lang w:val="en-US"/>
              </w:rPr>
              <w:t>cấp Giấy chứng nhận quyền sử dụng đất</w:t>
            </w:r>
            <w:r w:rsidR="003F168D" w:rsidRPr="00361BB3">
              <w:rPr>
                <w:rFonts w:asciiTheme="majorHAnsi" w:hAnsiTheme="majorHAnsi" w:cstheme="majorHAnsi"/>
                <w:szCs w:val="28"/>
                <w:lang w:val="en-US"/>
              </w:rPr>
              <w:t xml:space="preserve"> cho NĐT</w:t>
            </w:r>
            <w:r w:rsidR="00262C6A" w:rsidRPr="00361BB3">
              <w:rPr>
                <w:rFonts w:asciiTheme="majorHAnsi" w:hAnsiTheme="majorHAnsi" w:cstheme="majorHAnsi"/>
                <w:szCs w:val="28"/>
                <w:lang w:val="en-US"/>
              </w:rPr>
              <w:t>.</w:t>
            </w: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Sở TNMT</w:t>
            </w:r>
          </w:p>
        </w:tc>
      </w:tr>
      <w:tr w:rsidR="00D579F4" w:rsidRPr="008C4E46" w:rsidTr="00DA2FF8">
        <w:tc>
          <w:tcPr>
            <w:tcW w:w="562" w:type="dxa"/>
          </w:tcPr>
          <w:p w:rsidR="00D579F4" w:rsidRPr="00361BB3" w:rsidRDefault="00D579F4" w:rsidP="00361BB3">
            <w:pPr>
              <w:spacing w:before="60" w:after="60"/>
              <w:jc w:val="center"/>
              <w:rPr>
                <w:rFonts w:asciiTheme="majorHAnsi" w:hAnsiTheme="majorHAnsi" w:cstheme="majorHAnsi"/>
                <w:b/>
                <w:szCs w:val="28"/>
                <w:lang w:val="en-US"/>
              </w:rPr>
            </w:pPr>
            <w:r w:rsidRPr="00361BB3">
              <w:rPr>
                <w:rFonts w:asciiTheme="majorHAnsi" w:hAnsiTheme="majorHAnsi" w:cstheme="majorHAnsi"/>
                <w:b/>
                <w:szCs w:val="28"/>
                <w:lang w:val="en-US"/>
              </w:rPr>
              <w:t>4</w:t>
            </w:r>
          </w:p>
        </w:tc>
        <w:tc>
          <w:tcPr>
            <w:tcW w:w="4321" w:type="dxa"/>
          </w:tcPr>
          <w:p w:rsidR="00D579F4" w:rsidRPr="00361BB3" w:rsidRDefault="00D579F4" w:rsidP="00361BB3">
            <w:pPr>
              <w:spacing w:before="60" w:after="60"/>
              <w:rPr>
                <w:rFonts w:asciiTheme="majorHAnsi" w:hAnsiTheme="majorHAnsi" w:cstheme="majorHAnsi"/>
                <w:b/>
                <w:szCs w:val="28"/>
                <w:lang w:val="en-US"/>
              </w:rPr>
            </w:pPr>
            <w:r w:rsidRPr="00361BB3">
              <w:rPr>
                <w:rFonts w:asciiTheme="majorHAnsi" w:hAnsiTheme="majorHAnsi" w:cstheme="majorHAnsi"/>
                <w:b/>
                <w:szCs w:val="28"/>
                <w:lang w:val="en-US"/>
              </w:rPr>
              <w:t>Môi trường</w:t>
            </w:r>
          </w:p>
        </w:tc>
        <w:tc>
          <w:tcPr>
            <w:tcW w:w="7087" w:type="dxa"/>
          </w:tcPr>
          <w:p w:rsidR="00D579F4" w:rsidRPr="00361BB3" w:rsidRDefault="00D579F4" w:rsidP="00361BB3">
            <w:pPr>
              <w:spacing w:before="60" w:after="60"/>
              <w:jc w:val="center"/>
              <w:rPr>
                <w:rFonts w:asciiTheme="majorHAnsi" w:hAnsiTheme="majorHAnsi" w:cstheme="majorHAnsi"/>
                <w:b/>
                <w:szCs w:val="28"/>
                <w:lang w:val="en-US"/>
              </w:rPr>
            </w:pPr>
          </w:p>
        </w:tc>
        <w:tc>
          <w:tcPr>
            <w:tcW w:w="2126" w:type="dxa"/>
          </w:tcPr>
          <w:p w:rsidR="00D579F4" w:rsidRPr="00361BB3" w:rsidRDefault="00D579F4" w:rsidP="00361BB3">
            <w:pPr>
              <w:spacing w:before="60" w:after="60"/>
              <w:jc w:val="center"/>
              <w:rPr>
                <w:rFonts w:asciiTheme="majorHAnsi" w:hAnsiTheme="majorHAnsi" w:cstheme="majorHAnsi"/>
                <w:b/>
                <w:szCs w:val="28"/>
                <w:lang w:val="en-US"/>
              </w:rPr>
            </w:pPr>
          </w:p>
        </w:tc>
      </w:tr>
      <w:tr w:rsidR="00D579F4" w:rsidRPr="00934D4F"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p>
        </w:tc>
        <w:tc>
          <w:tcPr>
            <w:tcW w:w="4321"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Đánh giá tác động môi trường của </w:t>
            </w:r>
            <w:r w:rsidR="003F168D" w:rsidRPr="00361BB3">
              <w:rPr>
                <w:rFonts w:asciiTheme="majorHAnsi" w:hAnsiTheme="majorHAnsi" w:cstheme="majorHAnsi"/>
                <w:szCs w:val="28"/>
                <w:lang w:val="en-US"/>
              </w:rPr>
              <w:t>dự án</w:t>
            </w:r>
            <w:r w:rsidRPr="00361BB3">
              <w:rPr>
                <w:rFonts w:asciiTheme="majorHAnsi" w:hAnsiTheme="majorHAnsi" w:cstheme="majorHAnsi"/>
                <w:szCs w:val="28"/>
                <w:lang w:val="en-US"/>
              </w:rPr>
              <w:t xml:space="preserve"> hoặc cấp Giấy phép môi trường</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w:t>
            </w:r>
            <w:r w:rsidR="006E44FD" w:rsidRPr="00361BB3">
              <w:rPr>
                <w:rFonts w:asciiTheme="majorHAnsi" w:hAnsiTheme="majorHAnsi" w:cstheme="majorHAnsi"/>
                <w:szCs w:val="28"/>
                <w:lang w:val="en-US"/>
              </w:rPr>
              <w:t xml:space="preserve">Đối với </w:t>
            </w:r>
            <w:r w:rsidR="00831E20" w:rsidRPr="00361BB3">
              <w:rPr>
                <w:rFonts w:asciiTheme="majorHAnsi" w:hAnsiTheme="majorHAnsi" w:cstheme="majorHAnsi"/>
                <w:szCs w:val="28"/>
                <w:lang w:val="en-US"/>
              </w:rPr>
              <w:t xml:space="preserve">dự án thuộc </w:t>
            </w:r>
            <w:r w:rsidR="006E44FD" w:rsidRPr="00361BB3">
              <w:rPr>
                <w:rFonts w:asciiTheme="majorHAnsi" w:hAnsiTheme="majorHAnsi" w:cstheme="majorHAnsi"/>
                <w:szCs w:val="28"/>
                <w:lang w:val="en-US"/>
              </w:rPr>
              <w:t xml:space="preserve">trường hợp quy định tại Điều 30 Luật Bảo vệ môi trường, </w:t>
            </w:r>
            <w:r w:rsidRPr="00361BB3">
              <w:rPr>
                <w:rFonts w:asciiTheme="majorHAnsi" w:hAnsiTheme="majorHAnsi" w:cstheme="majorHAnsi"/>
                <w:szCs w:val="28"/>
                <w:lang w:val="en-US"/>
              </w:rPr>
              <w:t xml:space="preserve">NĐT lập hồ sơ báo cáo đánh giá tác động môi trường </w:t>
            </w:r>
            <w:r w:rsidR="006E44FD" w:rsidRPr="00361BB3">
              <w:rPr>
                <w:rFonts w:asciiTheme="majorHAnsi" w:hAnsiTheme="majorHAnsi" w:cstheme="majorHAnsi"/>
                <w:szCs w:val="28"/>
                <w:lang w:val="en-US"/>
              </w:rPr>
              <w:t>dự án</w:t>
            </w:r>
            <w:r w:rsidR="00831E20" w:rsidRPr="00361BB3">
              <w:rPr>
                <w:rFonts w:asciiTheme="majorHAnsi" w:hAnsiTheme="majorHAnsi" w:cstheme="majorHAnsi"/>
                <w:szCs w:val="28"/>
                <w:lang w:val="en-US"/>
              </w:rPr>
              <w:t xml:space="preserve">, nộp tại </w:t>
            </w:r>
            <w:r w:rsidRPr="00361BB3">
              <w:rPr>
                <w:rFonts w:asciiTheme="majorHAnsi" w:hAnsiTheme="majorHAnsi" w:cstheme="majorHAnsi"/>
                <w:szCs w:val="28"/>
                <w:lang w:val="en-US"/>
              </w:rPr>
              <w:t>Bộ TNMT hoặc Sở TNMT để thẩm định, trình duyệt.</w:t>
            </w:r>
          </w:p>
          <w:p w:rsidR="00831E20"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Đối với </w:t>
            </w:r>
            <w:r w:rsidR="00831E20" w:rsidRPr="00361BB3">
              <w:rPr>
                <w:rFonts w:asciiTheme="majorHAnsi" w:hAnsiTheme="majorHAnsi" w:cstheme="majorHAnsi"/>
                <w:szCs w:val="28"/>
                <w:lang w:val="en-US"/>
              </w:rPr>
              <w:t xml:space="preserve">dự án thuộc trường hợp quy định tại </w:t>
            </w:r>
            <w:r w:rsidR="00890C61" w:rsidRPr="00361BB3">
              <w:rPr>
                <w:rFonts w:asciiTheme="majorHAnsi" w:hAnsiTheme="majorHAnsi" w:cstheme="majorHAnsi"/>
                <w:szCs w:val="28"/>
                <w:lang w:val="en-US"/>
              </w:rPr>
              <w:t xml:space="preserve">Điều 39 Luật Bảo vệ môi trường, NĐT lập hồ sơ cấp </w:t>
            </w:r>
            <w:r w:rsidR="00AC57AF" w:rsidRPr="00361BB3">
              <w:rPr>
                <w:rFonts w:asciiTheme="majorHAnsi" w:hAnsiTheme="majorHAnsi" w:cstheme="majorHAnsi"/>
                <w:szCs w:val="28"/>
                <w:lang w:val="en-US"/>
              </w:rPr>
              <w:t>G</w:t>
            </w:r>
            <w:r w:rsidR="00890C61" w:rsidRPr="00361BB3">
              <w:rPr>
                <w:rFonts w:asciiTheme="majorHAnsi" w:hAnsiTheme="majorHAnsi" w:cstheme="majorHAnsi"/>
                <w:szCs w:val="28"/>
                <w:lang w:val="en-US"/>
              </w:rPr>
              <w:t xml:space="preserve">iấy phép môi trường, </w:t>
            </w:r>
            <w:r w:rsidR="00884AFA" w:rsidRPr="00361BB3">
              <w:rPr>
                <w:rFonts w:asciiTheme="majorHAnsi" w:hAnsiTheme="majorHAnsi" w:cstheme="majorHAnsi"/>
                <w:szCs w:val="28"/>
                <w:lang w:val="en-US"/>
              </w:rPr>
              <w:t>nộp tại UBND quận/huyện để thẩm định, phê duyệt.</w:t>
            </w:r>
          </w:p>
          <w:p w:rsidR="00D579F4" w:rsidRPr="00361BB3" w:rsidRDefault="00884AFA"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Đối với dự án không thuộc trường hợp </w:t>
            </w:r>
            <w:r w:rsidR="00AC57AF" w:rsidRPr="00361BB3">
              <w:rPr>
                <w:rFonts w:asciiTheme="majorHAnsi" w:hAnsiTheme="majorHAnsi" w:cstheme="majorHAnsi"/>
                <w:szCs w:val="28"/>
                <w:lang w:val="en-US"/>
              </w:rPr>
              <w:t xml:space="preserve">phải có Giấy phép môi trường quy định tại khoản 1 Điều 49 Luật Bảo vệ môi trường, NĐT gửi đăng ký </w:t>
            </w:r>
            <w:r w:rsidR="00BD1686" w:rsidRPr="00361BB3">
              <w:rPr>
                <w:rFonts w:asciiTheme="majorHAnsi" w:hAnsiTheme="majorHAnsi" w:cstheme="majorHAnsi"/>
                <w:szCs w:val="28"/>
                <w:lang w:val="en-US"/>
              </w:rPr>
              <w:t xml:space="preserve">bảo vệ </w:t>
            </w:r>
            <w:r w:rsidR="00AC57AF" w:rsidRPr="00361BB3">
              <w:rPr>
                <w:rFonts w:asciiTheme="majorHAnsi" w:hAnsiTheme="majorHAnsi" w:cstheme="majorHAnsi"/>
                <w:szCs w:val="28"/>
                <w:lang w:val="en-US"/>
              </w:rPr>
              <w:t xml:space="preserve">môi trường cho UBND </w:t>
            </w:r>
            <w:r w:rsidR="00CA650B" w:rsidRPr="00361BB3">
              <w:rPr>
                <w:rFonts w:asciiTheme="majorHAnsi" w:hAnsiTheme="majorHAnsi" w:cstheme="majorHAnsi"/>
                <w:szCs w:val="28"/>
                <w:lang w:val="en-US"/>
              </w:rPr>
              <w:t>xã/phường</w:t>
            </w:r>
            <w:r w:rsidR="00AC57AF" w:rsidRPr="00361BB3">
              <w:rPr>
                <w:rFonts w:asciiTheme="majorHAnsi" w:hAnsiTheme="majorHAnsi" w:cstheme="majorHAnsi"/>
                <w:szCs w:val="28"/>
                <w:lang w:val="en-US"/>
              </w:rPr>
              <w:t>.</w:t>
            </w: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Sở TNMT</w:t>
            </w:r>
          </w:p>
          <w:p w:rsidR="00D579F4" w:rsidRPr="00361BB3" w:rsidRDefault="00D579F4" w:rsidP="00361BB3">
            <w:pPr>
              <w:spacing w:before="60" w:after="60"/>
              <w:jc w:val="center"/>
              <w:rPr>
                <w:rFonts w:asciiTheme="majorHAnsi" w:hAnsiTheme="majorHAnsi" w:cstheme="majorHAnsi"/>
                <w:szCs w:val="28"/>
                <w:lang w:val="en-US"/>
              </w:rPr>
            </w:pPr>
          </w:p>
          <w:p w:rsidR="00D579F4" w:rsidRDefault="00D579F4" w:rsidP="00B76819">
            <w:pPr>
              <w:spacing w:before="60" w:after="60"/>
              <w:rPr>
                <w:rFonts w:asciiTheme="majorHAnsi" w:hAnsiTheme="majorHAnsi" w:cstheme="majorHAnsi"/>
                <w:szCs w:val="28"/>
                <w:lang w:val="en-US"/>
              </w:rPr>
            </w:pPr>
          </w:p>
          <w:p w:rsidR="00B76819" w:rsidRPr="00361BB3" w:rsidRDefault="00B76819" w:rsidP="00B76819">
            <w:pPr>
              <w:spacing w:before="60" w:after="60"/>
              <w:rPr>
                <w:rFonts w:asciiTheme="majorHAnsi" w:hAnsiTheme="majorHAnsi" w:cstheme="majorHAnsi"/>
                <w:szCs w:val="28"/>
                <w:lang w:val="en-US"/>
              </w:rPr>
            </w:pPr>
          </w:p>
          <w:p w:rsidR="00D579F4" w:rsidRPr="00361BB3" w:rsidRDefault="00D579F4" w:rsidP="0059029F">
            <w:pPr>
              <w:jc w:val="center"/>
              <w:rPr>
                <w:rFonts w:asciiTheme="majorHAnsi" w:hAnsiTheme="majorHAnsi" w:cstheme="majorHAnsi"/>
                <w:szCs w:val="28"/>
                <w:lang w:val="en-US"/>
              </w:rPr>
            </w:pPr>
            <w:r w:rsidRPr="00361BB3">
              <w:rPr>
                <w:rFonts w:asciiTheme="majorHAnsi" w:hAnsiTheme="majorHAnsi" w:cstheme="majorHAnsi"/>
                <w:szCs w:val="28"/>
                <w:lang w:val="en-US"/>
              </w:rPr>
              <w:t>UBND quận/huyện</w:t>
            </w:r>
          </w:p>
          <w:p w:rsidR="00AC57AF" w:rsidRPr="00361BB3" w:rsidRDefault="00AC57AF" w:rsidP="00361BB3">
            <w:pPr>
              <w:spacing w:before="60" w:after="60"/>
              <w:jc w:val="center"/>
              <w:rPr>
                <w:rFonts w:asciiTheme="majorHAnsi" w:hAnsiTheme="majorHAnsi" w:cstheme="majorHAnsi"/>
                <w:szCs w:val="28"/>
                <w:lang w:val="en-US"/>
              </w:rPr>
            </w:pPr>
          </w:p>
          <w:p w:rsidR="00AC57AF" w:rsidRPr="00361BB3" w:rsidRDefault="00AC57AF"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UBND xã</w:t>
            </w:r>
            <w:r w:rsidR="00CA650B" w:rsidRPr="00361BB3">
              <w:rPr>
                <w:rFonts w:asciiTheme="majorHAnsi" w:hAnsiTheme="majorHAnsi" w:cstheme="majorHAnsi"/>
                <w:szCs w:val="28"/>
                <w:lang w:val="en-US"/>
              </w:rPr>
              <w:t>/phường</w:t>
            </w:r>
          </w:p>
        </w:tc>
      </w:tr>
      <w:tr w:rsidR="00D579F4" w:rsidTr="00DA2FF8">
        <w:tc>
          <w:tcPr>
            <w:tcW w:w="562" w:type="dxa"/>
          </w:tcPr>
          <w:p w:rsidR="00D579F4" w:rsidRPr="00361BB3" w:rsidRDefault="00D579F4" w:rsidP="00361BB3">
            <w:pPr>
              <w:spacing w:before="60" w:after="60"/>
              <w:jc w:val="center"/>
              <w:rPr>
                <w:rFonts w:asciiTheme="majorHAnsi" w:hAnsiTheme="majorHAnsi" w:cstheme="majorHAnsi"/>
                <w:b/>
                <w:szCs w:val="28"/>
                <w:lang w:val="en-US"/>
              </w:rPr>
            </w:pPr>
            <w:r w:rsidRPr="00361BB3">
              <w:rPr>
                <w:rFonts w:asciiTheme="majorHAnsi" w:hAnsiTheme="majorHAnsi" w:cstheme="majorHAnsi"/>
                <w:b/>
                <w:szCs w:val="28"/>
                <w:lang w:val="en-US"/>
              </w:rPr>
              <w:t>5</w:t>
            </w:r>
          </w:p>
        </w:tc>
        <w:tc>
          <w:tcPr>
            <w:tcW w:w="4321" w:type="dxa"/>
          </w:tcPr>
          <w:p w:rsidR="00D579F4" w:rsidRPr="00361BB3" w:rsidRDefault="00D579F4" w:rsidP="00361BB3">
            <w:pPr>
              <w:spacing w:before="60" w:after="60"/>
              <w:rPr>
                <w:rFonts w:asciiTheme="majorHAnsi" w:hAnsiTheme="majorHAnsi" w:cstheme="majorHAnsi"/>
                <w:b/>
                <w:szCs w:val="28"/>
                <w:lang w:val="en-US"/>
              </w:rPr>
            </w:pPr>
            <w:r w:rsidRPr="00361BB3">
              <w:rPr>
                <w:rFonts w:asciiTheme="majorHAnsi" w:hAnsiTheme="majorHAnsi" w:cstheme="majorHAnsi"/>
                <w:b/>
                <w:szCs w:val="28"/>
                <w:lang w:val="en-US"/>
              </w:rPr>
              <w:t>Xây dựng</w:t>
            </w:r>
          </w:p>
        </w:tc>
        <w:tc>
          <w:tcPr>
            <w:tcW w:w="7087" w:type="dxa"/>
          </w:tcPr>
          <w:p w:rsidR="00D579F4" w:rsidRPr="00361BB3" w:rsidRDefault="00D579F4" w:rsidP="00361BB3">
            <w:pPr>
              <w:spacing w:before="60" w:after="60"/>
              <w:jc w:val="center"/>
              <w:rPr>
                <w:rFonts w:asciiTheme="majorHAnsi" w:hAnsiTheme="majorHAnsi" w:cstheme="majorHAnsi"/>
                <w:b/>
                <w:szCs w:val="28"/>
                <w:lang w:val="en-US"/>
              </w:rPr>
            </w:pPr>
          </w:p>
        </w:tc>
        <w:tc>
          <w:tcPr>
            <w:tcW w:w="2126" w:type="dxa"/>
          </w:tcPr>
          <w:p w:rsidR="00D579F4" w:rsidRPr="00361BB3" w:rsidRDefault="00D579F4" w:rsidP="00361BB3">
            <w:pPr>
              <w:spacing w:before="60" w:after="60"/>
              <w:jc w:val="center"/>
              <w:rPr>
                <w:rFonts w:asciiTheme="majorHAnsi" w:hAnsiTheme="majorHAnsi" w:cstheme="majorHAnsi"/>
                <w:b/>
                <w:szCs w:val="28"/>
                <w:lang w:val="en-US"/>
              </w:rPr>
            </w:pPr>
          </w:p>
        </w:tc>
      </w:tr>
      <w:tr w:rsidR="00D579F4"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5.1</w:t>
            </w:r>
          </w:p>
        </w:tc>
        <w:tc>
          <w:tcPr>
            <w:tcW w:w="4321" w:type="dxa"/>
          </w:tcPr>
          <w:p w:rsidR="00D579F4" w:rsidRPr="00361BB3" w:rsidRDefault="00F3798D" w:rsidP="00361BB3">
            <w:pPr>
              <w:spacing w:before="60" w:after="60"/>
              <w:jc w:val="both"/>
              <w:rPr>
                <w:rFonts w:asciiTheme="majorHAnsi" w:hAnsiTheme="majorHAnsi" w:cstheme="majorHAnsi"/>
                <w:b/>
                <w:szCs w:val="28"/>
                <w:lang w:val="en-US"/>
              </w:rPr>
            </w:pPr>
            <w:r w:rsidRPr="00361BB3">
              <w:rPr>
                <w:rFonts w:asciiTheme="majorHAnsi" w:hAnsiTheme="majorHAnsi" w:cstheme="majorHAnsi"/>
                <w:szCs w:val="28"/>
              </w:rPr>
              <w:t xml:space="preserve">Phương án kiến trúc (đối với các công trình được Hội đồng tư vấn về kiến trúc của thành phố lựa chọn và báo cáo UBND </w:t>
            </w:r>
            <w:r w:rsidR="007C12EF" w:rsidRPr="00361BB3">
              <w:rPr>
                <w:rFonts w:asciiTheme="majorHAnsi" w:hAnsiTheme="majorHAnsi" w:cstheme="majorHAnsi"/>
                <w:szCs w:val="28"/>
                <w:lang w:val="en-US"/>
              </w:rPr>
              <w:t>TP</w:t>
            </w:r>
            <w:r w:rsidRPr="00361BB3">
              <w:rPr>
                <w:rFonts w:asciiTheme="majorHAnsi" w:hAnsiTheme="majorHAnsi" w:cstheme="majorHAnsi"/>
                <w:szCs w:val="28"/>
              </w:rPr>
              <w:t xml:space="preserve"> quyết định theo </w:t>
            </w:r>
            <w:r w:rsidR="007C12EF" w:rsidRPr="00361BB3">
              <w:rPr>
                <w:rFonts w:asciiTheme="majorHAnsi" w:hAnsiTheme="majorHAnsi" w:cstheme="majorHAnsi"/>
                <w:szCs w:val="28"/>
                <w:lang w:val="en-US"/>
              </w:rPr>
              <w:t xml:space="preserve">quy định tại </w:t>
            </w:r>
            <w:r w:rsidRPr="00361BB3">
              <w:rPr>
                <w:rFonts w:asciiTheme="majorHAnsi" w:hAnsiTheme="majorHAnsi" w:cstheme="majorHAnsi"/>
                <w:szCs w:val="28"/>
              </w:rPr>
              <w:t>khoản 3</w:t>
            </w:r>
            <w:r w:rsidR="007C12EF" w:rsidRPr="00361BB3">
              <w:rPr>
                <w:rFonts w:asciiTheme="majorHAnsi" w:hAnsiTheme="majorHAnsi" w:cstheme="majorHAnsi"/>
                <w:szCs w:val="28"/>
                <w:lang w:val="en-US"/>
              </w:rPr>
              <w:t xml:space="preserve"> </w:t>
            </w:r>
            <w:r w:rsidRPr="00361BB3">
              <w:rPr>
                <w:rFonts w:asciiTheme="majorHAnsi" w:hAnsiTheme="majorHAnsi" w:cstheme="majorHAnsi"/>
                <w:szCs w:val="28"/>
              </w:rPr>
              <w:t>Điề</w:t>
            </w:r>
            <w:r w:rsidR="007C12EF" w:rsidRPr="00361BB3">
              <w:rPr>
                <w:rFonts w:asciiTheme="majorHAnsi" w:hAnsiTheme="majorHAnsi" w:cstheme="majorHAnsi"/>
                <w:szCs w:val="28"/>
              </w:rPr>
              <w:t xml:space="preserve">u 3 </w:t>
            </w:r>
            <w:r w:rsidRPr="00361BB3">
              <w:rPr>
                <w:rFonts w:asciiTheme="majorHAnsi" w:hAnsiTheme="majorHAnsi" w:cstheme="majorHAnsi"/>
                <w:szCs w:val="28"/>
              </w:rPr>
              <w:t xml:space="preserve">Quyết </w:t>
            </w:r>
            <w:r w:rsidRPr="00361BB3">
              <w:rPr>
                <w:rFonts w:asciiTheme="majorHAnsi" w:hAnsiTheme="majorHAnsi" w:cstheme="majorHAnsi"/>
                <w:szCs w:val="28"/>
              </w:rPr>
              <w:lastRenderedPageBreak/>
              <w:t xml:space="preserve">định số 516/QĐ-UBND ngày 24/02/2023 của UBND </w:t>
            </w:r>
            <w:r w:rsidR="007C12EF" w:rsidRPr="00361BB3">
              <w:rPr>
                <w:rFonts w:asciiTheme="majorHAnsi" w:hAnsiTheme="majorHAnsi" w:cstheme="majorHAnsi"/>
                <w:szCs w:val="28"/>
                <w:lang w:val="en-US"/>
              </w:rPr>
              <w:t>TP</w:t>
            </w:r>
            <w:r w:rsidRPr="00361BB3">
              <w:rPr>
                <w:rFonts w:asciiTheme="majorHAnsi" w:hAnsiTheme="majorHAnsi" w:cstheme="majorHAnsi"/>
                <w:szCs w:val="28"/>
              </w:rPr>
              <w:t xml:space="preserve"> về việc ban hành Quy chế tổ chức và hoạt động của Hội đồng tư vấn về kiến trúc </w:t>
            </w:r>
            <w:r w:rsidR="003920DF" w:rsidRPr="00361BB3">
              <w:rPr>
                <w:rFonts w:asciiTheme="majorHAnsi" w:hAnsiTheme="majorHAnsi" w:cstheme="majorHAnsi"/>
                <w:szCs w:val="28"/>
                <w:lang w:val="en-US"/>
              </w:rPr>
              <w:t>TP</w:t>
            </w:r>
            <w:r w:rsidRPr="00361BB3">
              <w:rPr>
                <w:rFonts w:asciiTheme="majorHAnsi" w:hAnsiTheme="majorHAnsi" w:cstheme="majorHAnsi"/>
                <w:szCs w:val="28"/>
              </w:rPr>
              <w:t xml:space="preserve"> Hải Phòng; đối với các công trình phải thi tuyển phương án kiến trúc theo quy định tại khoả</w:t>
            </w:r>
            <w:r w:rsidR="003920DF" w:rsidRPr="00361BB3">
              <w:rPr>
                <w:rFonts w:asciiTheme="majorHAnsi" w:hAnsiTheme="majorHAnsi" w:cstheme="majorHAnsi"/>
                <w:szCs w:val="28"/>
              </w:rPr>
              <w:t xml:space="preserve">n 2 </w:t>
            </w:r>
            <w:r w:rsidRPr="00361BB3">
              <w:rPr>
                <w:rFonts w:asciiTheme="majorHAnsi" w:hAnsiTheme="majorHAnsi" w:cstheme="majorHAnsi"/>
                <w:szCs w:val="28"/>
              </w:rPr>
              <w:t>Điều 17 Luật Kiến trúc)</w:t>
            </w:r>
          </w:p>
        </w:tc>
        <w:tc>
          <w:tcPr>
            <w:tcW w:w="7087" w:type="dxa"/>
          </w:tcPr>
          <w:p w:rsidR="00D579F4" w:rsidRPr="00361BB3" w:rsidRDefault="00D579F4" w:rsidP="00361BB3">
            <w:pPr>
              <w:spacing w:before="60" w:after="60"/>
              <w:jc w:val="both"/>
              <w:rPr>
                <w:rFonts w:asciiTheme="majorHAnsi" w:hAnsiTheme="majorHAnsi" w:cstheme="majorHAnsi"/>
                <w:b/>
                <w:szCs w:val="28"/>
                <w:lang w:val="en-US"/>
              </w:rPr>
            </w:pPr>
            <w:r w:rsidRPr="00361BB3">
              <w:rPr>
                <w:rFonts w:asciiTheme="majorHAnsi" w:hAnsiTheme="majorHAnsi" w:cstheme="majorHAnsi"/>
                <w:szCs w:val="28"/>
                <w:lang w:val="en-US"/>
              </w:rPr>
              <w:lastRenderedPageBreak/>
              <w:t xml:space="preserve">NĐT lập hồ sơ phương án kiến trúc của </w:t>
            </w:r>
            <w:r w:rsidR="003920DF" w:rsidRPr="00361BB3">
              <w:rPr>
                <w:rFonts w:asciiTheme="majorHAnsi" w:hAnsiTheme="majorHAnsi" w:cstheme="majorHAnsi"/>
                <w:szCs w:val="28"/>
                <w:lang w:val="en-US"/>
              </w:rPr>
              <w:t>dự án</w:t>
            </w:r>
            <w:r w:rsidRPr="00361BB3">
              <w:rPr>
                <w:rFonts w:asciiTheme="majorHAnsi" w:hAnsiTheme="majorHAnsi" w:cstheme="majorHAnsi"/>
                <w:szCs w:val="28"/>
                <w:lang w:val="en-US"/>
              </w:rPr>
              <w:t xml:space="preserve">, gửi Sở XD </w:t>
            </w:r>
            <w:r w:rsidR="00202E63" w:rsidRPr="00361BB3">
              <w:rPr>
                <w:rFonts w:asciiTheme="majorHAnsi" w:hAnsiTheme="majorHAnsi" w:cstheme="majorHAnsi"/>
                <w:szCs w:val="28"/>
                <w:lang w:val="en-US"/>
              </w:rPr>
              <w:t>để</w:t>
            </w:r>
            <w:r w:rsidRPr="00361BB3">
              <w:rPr>
                <w:rFonts w:asciiTheme="majorHAnsi" w:hAnsiTheme="majorHAnsi" w:cstheme="majorHAnsi"/>
                <w:szCs w:val="28"/>
                <w:lang w:val="en-US"/>
              </w:rPr>
              <w:t xml:space="preserve"> xin ý kiến </w:t>
            </w:r>
            <w:r w:rsidR="0068593B" w:rsidRPr="00361BB3">
              <w:rPr>
                <w:rFonts w:asciiTheme="majorHAnsi" w:hAnsiTheme="majorHAnsi" w:cstheme="majorHAnsi"/>
                <w:szCs w:val="28"/>
              </w:rPr>
              <w:t>Hội đồng tư vấn về kiến trúc của thành phố</w:t>
            </w:r>
            <w:r w:rsidRPr="00361BB3">
              <w:rPr>
                <w:rFonts w:asciiTheme="majorHAnsi" w:hAnsiTheme="majorHAnsi" w:cstheme="majorHAnsi"/>
                <w:szCs w:val="28"/>
                <w:lang w:val="en-US"/>
              </w:rPr>
              <w:t xml:space="preserve">, trình UBND TP </w:t>
            </w:r>
            <w:r w:rsidR="00202E63" w:rsidRPr="00361BB3">
              <w:rPr>
                <w:rFonts w:asciiTheme="majorHAnsi" w:hAnsiTheme="majorHAnsi" w:cstheme="majorHAnsi"/>
                <w:szCs w:val="28"/>
                <w:lang w:val="en-US"/>
              </w:rPr>
              <w:t>thông qua</w:t>
            </w: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Sở XD</w:t>
            </w:r>
          </w:p>
        </w:tc>
      </w:tr>
      <w:tr w:rsidR="00D579F4"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5.2</w:t>
            </w:r>
          </w:p>
        </w:tc>
        <w:tc>
          <w:tcPr>
            <w:tcW w:w="4321" w:type="dxa"/>
          </w:tcPr>
          <w:p w:rsidR="00D579F4" w:rsidRPr="00361BB3" w:rsidRDefault="0068593B"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Báo cáo nghiên cứu khả thi hoặc Báo cáo kinh tế kỹ thuật</w:t>
            </w:r>
            <w:r w:rsidR="00D579F4" w:rsidRPr="00361BB3">
              <w:rPr>
                <w:rFonts w:asciiTheme="majorHAnsi" w:hAnsiTheme="majorHAnsi" w:cstheme="majorHAnsi"/>
                <w:szCs w:val="28"/>
                <w:lang w:val="en-US"/>
              </w:rPr>
              <w:t xml:space="preserve"> </w:t>
            </w:r>
          </w:p>
        </w:tc>
        <w:tc>
          <w:tcPr>
            <w:tcW w:w="7087" w:type="dxa"/>
          </w:tcPr>
          <w:p w:rsidR="00314DA0" w:rsidRPr="00400841" w:rsidRDefault="00DD34BC" w:rsidP="00314DA0">
            <w:pPr>
              <w:spacing w:before="60" w:after="60"/>
              <w:jc w:val="both"/>
              <w:rPr>
                <w:rFonts w:asciiTheme="majorHAnsi" w:hAnsiTheme="majorHAnsi" w:cstheme="majorHAnsi"/>
                <w:szCs w:val="28"/>
                <w:lang w:val="en-US"/>
              </w:rPr>
            </w:pPr>
            <w:r w:rsidRPr="00400841">
              <w:rPr>
                <w:rFonts w:asciiTheme="majorHAnsi" w:hAnsiTheme="majorHAnsi" w:cstheme="majorHAnsi"/>
                <w:szCs w:val="28"/>
                <w:lang w:val="en-US"/>
              </w:rPr>
              <w:t>NĐT tổ chức lập Báo cáo nghiên cứu khả thi hoặc Báo cáo kinh tế kỹ thuật,</w:t>
            </w:r>
            <w:r w:rsidR="00314DA0" w:rsidRPr="00400841">
              <w:rPr>
                <w:rFonts w:asciiTheme="majorHAnsi" w:hAnsiTheme="majorHAnsi" w:cstheme="majorHAnsi"/>
                <w:szCs w:val="28"/>
                <w:lang w:val="en-US"/>
              </w:rPr>
              <w:t xml:space="preserve"> gửi cơ quan chuyên môn về xây dựng </w:t>
            </w:r>
            <w:r w:rsidR="00314DA0" w:rsidRPr="00400841">
              <w:rPr>
                <w:rFonts w:asciiTheme="majorHAnsi" w:hAnsiTheme="majorHAnsi" w:cstheme="majorHAnsi"/>
                <w:szCs w:val="28"/>
              </w:rPr>
              <w:t>thuộc chuyên ngành quản lý</w:t>
            </w:r>
            <w:r w:rsidR="00314DA0" w:rsidRPr="00400841">
              <w:rPr>
                <w:rFonts w:asciiTheme="majorHAnsi" w:hAnsiTheme="majorHAnsi" w:cstheme="majorHAnsi"/>
                <w:szCs w:val="28"/>
                <w:lang w:val="en-US"/>
              </w:rPr>
              <w:t xml:space="preserve"> để chủ trì thẩm định; đồng thời,</w:t>
            </w:r>
            <w:r w:rsidRPr="00400841">
              <w:rPr>
                <w:rFonts w:asciiTheme="majorHAnsi" w:hAnsiTheme="majorHAnsi" w:cstheme="majorHAnsi"/>
                <w:szCs w:val="28"/>
                <w:lang w:val="en-US"/>
              </w:rPr>
              <w:t xml:space="preserve"> gửi</w:t>
            </w:r>
            <w:r w:rsidR="00FB4365" w:rsidRPr="00400841">
              <w:rPr>
                <w:rFonts w:asciiTheme="majorHAnsi" w:hAnsiTheme="majorHAnsi" w:cstheme="majorHAnsi"/>
                <w:szCs w:val="28"/>
                <w:lang w:val="en-US"/>
              </w:rPr>
              <w:t xml:space="preserve"> hoặc đề nghị cơ quan chuyên môn về xây dựng gửi</w:t>
            </w:r>
            <w:r w:rsidRPr="00400841">
              <w:rPr>
                <w:rFonts w:asciiTheme="majorHAnsi" w:hAnsiTheme="majorHAnsi" w:cstheme="majorHAnsi"/>
                <w:szCs w:val="28"/>
                <w:lang w:val="en-US"/>
              </w:rPr>
              <w:t xml:space="preserve"> </w:t>
            </w:r>
            <w:r w:rsidR="00EB200B" w:rsidRPr="00400841">
              <w:rPr>
                <w:rFonts w:asciiTheme="majorHAnsi" w:hAnsiTheme="majorHAnsi" w:cstheme="majorHAnsi"/>
                <w:szCs w:val="28"/>
                <w:lang w:val="en-US"/>
              </w:rPr>
              <w:t xml:space="preserve">Cục Cảnh sát PCCC&amp;CNCH- Bộ Công an hoặc Phòng Cảnh sát PCCC&amp;CNCH-CATP để </w:t>
            </w:r>
            <w:r w:rsidR="003B16E3" w:rsidRPr="00400841">
              <w:rPr>
                <w:rFonts w:asciiTheme="majorHAnsi" w:hAnsiTheme="majorHAnsi" w:cstheme="majorHAnsi"/>
                <w:szCs w:val="28"/>
              </w:rPr>
              <w:t>lấy ý kiến về giải pháp phòng cháy, chữa cháy của thiết kế cơ sở</w:t>
            </w:r>
            <w:r w:rsidR="00636173" w:rsidRPr="00400841">
              <w:rPr>
                <w:rFonts w:asciiTheme="majorHAnsi" w:hAnsiTheme="majorHAnsi" w:cstheme="majorHAnsi"/>
                <w:szCs w:val="28"/>
                <w:lang w:val="en-US"/>
              </w:rPr>
              <w:t>;</w:t>
            </w:r>
            <w:r w:rsidR="00FB4365" w:rsidRPr="00400841">
              <w:rPr>
                <w:rFonts w:asciiTheme="majorHAnsi" w:hAnsiTheme="majorHAnsi" w:cstheme="majorHAnsi"/>
                <w:szCs w:val="28"/>
                <w:lang w:val="en-US"/>
              </w:rPr>
              <w:t xml:space="preserve"> làm cơ sở để NĐT phê duyệt </w:t>
            </w:r>
            <w:r w:rsidR="00400841" w:rsidRPr="00400841">
              <w:rPr>
                <w:rFonts w:asciiTheme="majorHAnsi" w:hAnsiTheme="majorHAnsi" w:cstheme="majorHAnsi"/>
                <w:szCs w:val="28"/>
                <w:lang w:val="en-US"/>
              </w:rPr>
              <w:t>d</w:t>
            </w:r>
            <w:r w:rsidR="00DD3510" w:rsidRPr="00400841">
              <w:rPr>
                <w:rFonts w:asciiTheme="majorHAnsi" w:hAnsiTheme="majorHAnsi" w:cstheme="majorHAnsi"/>
                <w:szCs w:val="28"/>
                <w:lang w:val="en-US"/>
              </w:rPr>
              <w:t>ự án đầu tư.</w:t>
            </w:r>
          </w:p>
          <w:p w:rsidR="00D579F4" w:rsidRPr="00361BB3" w:rsidRDefault="00D579F4" w:rsidP="00314DA0">
            <w:pPr>
              <w:spacing w:before="60" w:after="60"/>
              <w:jc w:val="both"/>
              <w:rPr>
                <w:rFonts w:asciiTheme="majorHAnsi" w:hAnsiTheme="majorHAnsi" w:cstheme="majorHAnsi"/>
                <w:szCs w:val="28"/>
                <w:lang w:val="en-US"/>
              </w:rPr>
            </w:pPr>
          </w:p>
        </w:tc>
        <w:tc>
          <w:tcPr>
            <w:tcW w:w="2126" w:type="dxa"/>
          </w:tcPr>
          <w:p w:rsidR="00D579F4" w:rsidRPr="00361BB3" w:rsidRDefault="004263DA"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C</w:t>
            </w:r>
            <w:r w:rsidR="00D579F4" w:rsidRPr="00361BB3">
              <w:rPr>
                <w:rFonts w:asciiTheme="majorHAnsi" w:hAnsiTheme="majorHAnsi" w:cstheme="majorHAnsi"/>
                <w:szCs w:val="28"/>
                <w:lang w:val="en-US"/>
              </w:rPr>
              <w:t>ác Bộ hoặc các Sở quản lý công trình xây dựng chuyên ngành</w:t>
            </w:r>
            <w:r w:rsidR="00620D76" w:rsidRPr="00361BB3">
              <w:rPr>
                <w:rFonts w:asciiTheme="majorHAnsi" w:hAnsiTheme="majorHAnsi" w:cstheme="majorHAnsi"/>
                <w:szCs w:val="28"/>
                <w:lang w:val="en-US"/>
              </w:rPr>
              <w:t>; Cục Cảnh sát PCCC&amp;CNCH- Bộ Công an hoặc Phòng Cảnh sát PCCC&amp;CNCH-CATP</w:t>
            </w:r>
          </w:p>
        </w:tc>
      </w:tr>
      <w:tr w:rsidR="00D579F4"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5.2</w:t>
            </w:r>
          </w:p>
        </w:tc>
        <w:tc>
          <w:tcPr>
            <w:tcW w:w="4321" w:type="dxa"/>
          </w:tcPr>
          <w:p w:rsidR="00D579F4" w:rsidRPr="00361BB3" w:rsidRDefault="00D579F4" w:rsidP="00361BB3">
            <w:pPr>
              <w:spacing w:before="60" w:after="60"/>
              <w:rPr>
                <w:rFonts w:asciiTheme="majorHAnsi" w:hAnsiTheme="majorHAnsi" w:cstheme="majorHAnsi"/>
                <w:szCs w:val="28"/>
                <w:lang w:val="en-US"/>
              </w:rPr>
            </w:pPr>
            <w:r w:rsidRPr="00361BB3">
              <w:rPr>
                <w:rFonts w:asciiTheme="majorHAnsi" w:hAnsiTheme="majorHAnsi" w:cstheme="majorHAnsi"/>
                <w:szCs w:val="28"/>
                <w:lang w:val="en-US"/>
              </w:rPr>
              <w:t xml:space="preserve">Thiết kế </w:t>
            </w:r>
            <w:r w:rsidR="005D052E" w:rsidRPr="00361BB3">
              <w:rPr>
                <w:rFonts w:asciiTheme="majorHAnsi" w:hAnsiTheme="majorHAnsi" w:cstheme="majorHAnsi"/>
                <w:szCs w:val="28"/>
                <w:lang w:val="en-US"/>
              </w:rPr>
              <w:t>kỹ thuật</w:t>
            </w:r>
            <w:r w:rsidR="00F103C9" w:rsidRPr="00361BB3">
              <w:rPr>
                <w:rFonts w:asciiTheme="majorHAnsi" w:hAnsiTheme="majorHAnsi" w:cstheme="majorHAnsi"/>
                <w:szCs w:val="28"/>
                <w:lang w:val="en-US"/>
              </w:rPr>
              <w:t xml:space="preserve">, thiết kế </w:t>
            </w:r>
            <w:r w:rsidRPr="00361BB3">
              <w:rPr>
                <w:rFonts w:asciiTheme="majorHAnsi" w:hAnsiTheme="majorHAnsi" w:cstheme="majorHAnsi"/>
                <w:szCs w:val="28"/>
                <w:lang w:val="en-US"/>
              </w:rPr>
              <w:t>bản vẽ thi công</w:t>
            </w:r>
          </w:p>
        </w:tc>
        <w:tc>
          <w:tcPr>
            <w:tcW w:w="7087" w:type="dxa"/>
          </w:tcPr>
          <w:p w:rsidR="00D579F4" w:rsidRPr="00361BB3" w:rsidRDefault="00D579F4" w:rsidP="00361BB3">
            <w:pPr>
              <w:spacing w:before="60" w:after="60"/>
              <w:jc w:val="both"/>
              <w:rPr>
                <w:rFonts w:asciiTheme="majorHAnsi" w:hAnsiTheme="majorHAnsi" w:cstheme="majorHAnsi"/>
                <w:szCs w:val="28"/>
                <w:lang w:val="en-US"/>
              </w:rPr>
            </w:pPr>
            <w:r w:rsidRPr="00361BB3">
              <w:rPr>
                <w:rFonts w:asciiTheme="majorHAnsi" w:hAnsiTheme="majorHAnsi" w:cstheme="majorHAnsi"/>
                <w:szCs w:val="28"/>
                <w:lang w:val="en-US"/>
              </w:rPr>
              <w:t xml:space="preserve">- NĐT lập hồ sơ thiết kế </w:t>
            </w:r>
            <w:r w:rsidR="00400841" w:rsidRPr="00400841">
              <w:rPr>
                <w:rFonts w:asciiTheme="majorHAnsi" w:hAnsiTheme="majorHAnsi" w:cstheme="majorHAnsi"/>
                <w:szCs w:val="28"/>
              </w:rPr>
              <w:t>phòng cháy, chữa cháy</w:t>
            </w:r>
            <w:r w:rsidRPr="00361BB3">
              <w:rPr>
                <w:rFonts w:asciiTheme="majorHAnsi" w:hAnsiTheme="majorHAnsi" w:cstheme="majorHAnsi"/>
                <w:szCs w:val="28"/>
                <w:lang w:val="en-US"/>
              </w:rPr>
              <w:t xml:space="preserve">, gửi </w:t>
            </w:r>
            <w:r w:rsidR="00F103C9" w:rsidRPr="00361BB3">
              <w:rPr>
                <w:rFonts w:asciiTheme="majorHAnsi" w:hAnsiTheme="majorHAnsi" w:cstheme="majorHAnsi"/>
                <w:szCs w:val="28"/>
                <w:lang w:val="en-US"/>
              </w:rPr>
              <w:t>Cục Cảnh sát PCCC&amp;CNCH- Bộ Công an hoặc Phòng Cảnh sát PCCC&amp;CNCH-CATP</w:t>
            </w:r>
            <w:r w:rsidRPr="00361BB3">
              <w:rPr>
                <w:rFonts w:asciiTheme="majorHAnsi" w:hAnsiTheme="majorHAnsi" w:cstheme="majorHAnsi"/>
                <w:szCs w:val="28"/>
                <w:lang w:val="en-US"/>
              </w:rPr>
              <w:t xml:space="preserve"> thẩm duyệt, cấp Giấy chứng nhận thẩm duyệt </w:t>
            </w:r>
            <w:r w:rsidR="00400841" w:rsidRPr="00400841">
              <w:rPr>
                <w:rFonts w:asciiTheme="majorHAnsi" w:hAnsiTheme="majorHAnsi" w:cstheme="majorHAnsi"/>
                <w:szCs w:val="28"/>
              </w:rPr>
              <w:t>phòng cháy, chữa cháy</w:t>
            </w:r>
            <w:r w:rsidRPr="00361BB3">
              <w:rPr>
                <w:rFonts w:asciiTheme="majorHAnsi" w:hAnsiTheme="majorHAnsi" w:cstheme="majorHAnsi"/>
                <w:szCs w:val="28"/>
                <w:lang w:val="en-US"/>
              </w:rPr>
              <w:t>.</w:t>
            </w:r>
          </w:p>
          <w:p w:rsidR="004263DA" w:rsidRPr="00361BB3" w:rsidRDefault="004263DA" w:rsidP="00361BB3">
            <w:pPr>
              <w:spacing w:before="60" w:after="60"/>
              <w:jc w:val="both"/>
              <w:rPr>
                <w:rFonts w:asciiTheme="majorHAnsi" w:hAnsiTheme="majorHAnsi" w:cstheme="majorHAnsi"/>
                <w:szCs w:val="28"/>
                <w:lang w:val="en-US"/>
              </w:rPr>
            </w:pPr>
          </w:p>
          <w:p w:rsidR="004263DA" w:rsidRPr="00361BB3" w:rsidRDefault="004263DA" w:rsidP="00361BB3">
            <w:pPr>
              <w:spacing w:before="60" w:after="60"/>
              <w:jc w:val="both"/>
              <w:rPr>
                <w:rFonts w:asciiTheme="majorHAnsi" w:hAnsiTheme="majorHAnsi" w:cstheme="majorHAnsi"/>
                <w:szCs w:val="28"/>
                <w:lang w:val="en-US"/>
              </w:rPr>
            </w:pPr>
          </w:p>
          <w:p w:rsidR="004263DA" w:rsidRPr="00361BB3" w:rsidRDefault="004263DA" w:rsidP="00361BB3">
            <w:pPr>
              <w:spacing w:before="60" w:after="60"/>
              <w:jc w:val="both"/>
              <w:rPr>
                <w:rFonts w:asciiTheme="majorHAnsi" w:hAnsiTheme="majorHAnsi" w:cstheme="majorHAnsi"/>
                <w:szCs w:val="28"/>
                <w:lang w:val="en-US"/>
              </w:rPr>
            </w:pPr>
          </w:p>
          <w:p w:rsidR="006B4B0D" w:rsidRPr="00361BB3" w:rsidRDefault="0042665F" w:rsidP="003055C6">
            <w:pPr>
              <w:spacing w:before="360" w:after="60"/>
              <w:jc w:val="both"/>
              <w:rPr>
                <w:rFonts w:asciiTheme="majorHAnsi" w:hAnsiTheme="majorHAnsi" w:cstheme="majorHAnsi"/>
                <w:szCs w:val="28"/>
                <w:lang w:val="en-US"/>
              </w:rPr>
            </w:pPr>
            <w:r w:rsidRPr="00400841">
              <w:rPr>
                <w:rFonts w:asciiTheme="majorHAnsi" w:hAnsiTheme="majorHAnsi" w:cstheme="majorHAnsi"/>
                <w:szCs w:val="28"/>
                <w:lang w:val="en-US"/>
              </w:rPr>
              <w:lastRenderedPageBreak/>
              <w:t xml:space="preserve">- </w:t>
            </w:r>
            <w:r w:rsidR="00FB4365" w:rsidRPr="00400841">
              <w:rPr>
                <w:rFonts w:asciiTheme="majorHAnsi" w:hAnsiTheme="majorHAnsi" w:cstheme="majorHAnsi"/>
                <w:szCs w:val="28"/>
                <w:lang w:val="en-US"/>
              </w:rPr>
              <w:t xml:space="preserve">Trên cơ sở Giấy chứng nhận thẩm duyệt </w:t>
            </w:r>
            <w:r w:rsidR="00400841" w:rsidRPr="00400841">
              <w:rPr>
                <w:rFonts w:asciiTheme="majorHAnsi" w:hAnsiTheme="majorHAnsi" w:cstheme="majorHAnsi"/>
                <w:szCs w:val="28"/>
              </w:rPr>
              <w:t>phòng cháy, chữa cháy</w:t>
            </w:r>
            <w:r w:rsidR="00FB4365" w:rsidRPr="00400841">
              <w:rPr>
                <w:rFonts w:asciiTheme="majorHAnsi" w:hAnsiTheme="majorHAnsi" w:cstheme="majorHAnsi"/>
                <w:szCs w:val="28"/>
                <w:lang w:val="en-US"/>
              </w:rPr>
              <w:t>,</w:t>
            </w:r>
            <w:r w:rsidR="00FB4365" w:rsidRPr="00400841">
              <w:rPr>
                <w:rFonts w:asciiTheme="majorHAnsi" w:hAnsiTheme="majorHAnsi" w:cstheme="majorHAnsi"/>
                <w:szCs w:val="28"/>
              </w:rPr>
              <w:t xml:space="preserve"> </w:t>
            </w:r>
            <w:r w:rsidR="006B4B0D" w:rsidRPr="00400841">
              <w:rPr>
                <w:rFonts w:asciiTheme="majorHAnsi" w:hAnsiTheme="majorHAnsi" w:cstheme="majorHAnsi"/>
                <w:szCs w:val="28"/>
              </w:rPr>
              <w:t xml:space="preserve">NĐT </w:t>
            </w:r>
            <w:r w:rsidR="00FB4365" w:rsidRPr="00400841">
              <w:rPr>
                <w:rFonts w:asciiTheme="majorHAnsi" w:hAnsiTheme="majorHAnsi" w:cstheme="majorHAnsi"/>
                <w:szCs w:val="28"/>
                <w:lang w:val="en-US"/>
              </w:rPr>
              <w:t>hoàn thiện</w:t>
            </w:r>
            <w:r w:rsidR="006B4B0D" w:rsidRPr="00400841">
              <w:rPr>
                <w:rFonts w:asciiTheme="majorHAnsi" w:hAnsiTheme="majorHAnsi" w:cstheme="majorHAnsi"/>
                <w:szCs w:val="28"/>
              </w:rPr>
              <w:t xml:space="preserve"> hồ sơ thiết kế </w:t>
            </w:r>
            <w:r w:rsidR="00FD380B" w:rsidRPr="00400841">
              <w:rPr>
                <w:rFonts w:asciiTheme="majorHAnsi" w:hAnsiTheme="majorHAnsi" w:cstheme="majorHAnsi"/>
                <w:szCs w:val="28"/>
                <w:lang w:val="en-US"/>
              </w:rPr>
              <w:t>kỹ thuật, thiết kế bản vẽ thi công</w:t>
            </w:r>
            <w:r w:rsidR="006B4B0D" w:rsidRPr="00400841">
              <w:rPr>
                <w:rFonts w:asciiTheme="majorHAnsi" w:hAnsiTheme="majorHAnsi" w:cstheme="majorHAnsi"/>
                <w:szCs w:val="28"/>
              </w:rPr>
              <w:t>, tổ chức thẩm định hoặc gửi cơ quan có thẩm quyền thẩm định đối với trường hợp phải thẩm định</w:t>
            </w:r>
            <w:r w:rsidR="00A609BA" w:rsidRPr="00400841">
              <w:rPr>
                <w:rFonts w:asciiTheme="majorHAnsi" w:hAnsiTheme="majorHAnsi" w:cstheme="majorHAnsi"/>
                <w:szCs w:val="28"/>
                <w:lang w:val="en-US"/>
              </w:rPr>
              <w:t xml:space="preserve">; </w:t>
            </w:r>
            <w:r w:rsidR="00A0551A" w:rsidRPr="00400841">
              <w:rPr>
                <w:rFonts w:asciiTheme="majorHAnsi" w:hAnsiTheme="majorHAnsi" w:cstheme="majorHAnsi"/>
                <w:szCs w:val="28"/>
                <w:lang w:val="en-US"/>
              </w:rPr>
              <w:t xml:space="preserve">làm cơ sở để </w:t>
            </w:r>
            <w:r w:rsidR="00060C85" w:rsidRPr="00400841">
              <w:rPr>
                <w:rFonts w:asciiTheme="majorHAnsi" w:hAnsiTheme="majorHAnsi" w:cstheme="majorHAnsi"/>
                <w:szCs w:val="28"/>
                <w:lang w:val="en-US"/>
              </w:rPr>
              <w:t xml:space="preserve">NĐT </w:t>
            </w:r>
            <w:r w:rsidR="00A0551A" w:rsidRPr="00400841">
              <w:rPr>
                <w:rFonts w:asciiTheme="majorHAnsi" w:hAnsiTheme="majorHAnsi" w:cstheme="majorHAnsi"/>
                <w:szCs w:val="28"/>
                <w:lang w:val="en-US"/>
              </w:rPr>
              <w:t>phê duyệt</w:t>
            </w:r>
            <w:r w:rsidR="00060C85" w:rsidRPr="00400841">
              <w:rPr>
                <w:rFonts w:asciiTheme="majorHAnsi" w:hAnsiTheme="majorHAnsi" w:cstheme="majorHAnsi"/>
                <w:szCs w:val="28"/>
                <w:lang w:val="en-US"/>
              </w:rPr>
              <w:t xml:space="preserve"> thiết kế.</w:t>
            </w:r>
          </w:p>
        </w:tc>
        <w:tc>
          <w:tcPr>
            <w:tcW w:w="2126" w:type="dxa"/>
          </w:tcPr>
          <w:p w:rsidR="00D579F4" w:rsidRPr="00361BB3" w:rsidRDefault="00060C85"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 xml:space="preserve">Cục Cảnh sát PCCC&amp;CNCH- Bộ Công an hoặc Phòng Cảnh sát PCCC&amp;CNCH-CATP </w:t>
            </w:r>
          </w:p>
          <w:p w:rsidR="004263DA" w:rsidRPr="00361BB3" w:rsidRDefault="004263DA" w:rsidP="00361BB3">
            <w:pPr>
              <w:spacing w:before="60" w:after="60"/>
              <w:jc w:val="center"/>
              <w:rPr>
                <w:rFonts w:asciiTheme="majorHAnsi" w:hAnsiTheme="majorHAnsi" w:cstheme="majorHAnsi"/>
                <w:szCs w:val="28"/>
                <w:lang w:val="en-US"/>
              </w:rPr>
            </w:pPr>
          </w:p>
          <w:p w:rsidR="004263DA" w:rsidRPr="00361BB3" w:rsidRDefault="004263DA"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Các Bộ hoặc các Sở quản lý công trình xây dựng chuyên ngành</w:t>
            </w:r>
          </w:p>
        </w:tc>
      </w:tr>
      <w:tr w:rsidR="00D579F4" w:rsidTr="00DA2FF8">
        <w:tc>
          <w:tcPr>
            <w:tcW w:w="562"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lastRenderedPageBreak/>
              <w:t>5.3</w:t>
            </w:r>
          </w:p>
        </w:tc>
        <w:tc>
          <w:tcPr>
            <w:tcW w:w="4321" w:type="dxa"/>
          </w:tcPr>
          <w:p w:rsidR="00D579F4" w:rsidRPr="00361BB3" w:rsidRDefault="00D579F4" w:rsidP="00361BB3">
            <w:pPr>
              <w:spacing w:before="60" w:after="60"/>
              <w:rPr>
                <w:rFonts w:asciiTheme="majorHAnsi" w:hAnsiTheme="majorHAnsi" w:cstheme="majorHAnsi"/>
                <w:szCs w:val="28"/>
                <w:lang w:val="en-US"/>
              </w:rPr>
            </w:pPr>
            <w:r w:rsidRPr="00361BB3">
              <w:rPr>
                <w:rFonts w:asciiTheme="majorHAnsi" w:hAnsiTheme="majorHAnsi" w:cstheme="majorHAnsi"/>
                <w:szCs w:val="28"/>
                <w:lang w:val="en-US"/>
              </w:rPr>
              <w:t>Cấp Giấy phép xây dựng</w:t>
            </w:r>
          </w:p>
          <w:p w:rsidR="00D579F4" w:rsidRPr="00361BB3" w:rsidRDefault="00D579F4" w:rsidP="00361BB3">
            <w:pPr>
              <w:spacing w:before="60" w:after="60"/>
              <w:rPr>
                <w:rFonts w:asciiTheme="majorHAnsi" w:hAnsiTheme="majorHAnsi" w:cstheme="majorHAnsi"/>
                <w:szCs w:val="28"/>
                <w:lang w:val="en-US"/>
              </w:rPr>
            </w:pPr>
          </w:p>
        </w:tc>
        <w:tc>
          <w:tcPr>
            <w:tcW w:w="7087" w:type="dxa"/>
          </w:tcPr>
          <w:p w:rsidR="00D579F4" w:rsidRPr="003055C6" w:rsidRDefault="00DD3510" w:rsidP="00361BB3">
            <w:pPr>
              <w:spacing w:before="60" w:after="60"/>
              <w:rPr>
                <w:rFonts w:asciiTheme="majorHAnsi" w:hAnsiTheme="majorHAnsi" w:cstheme="majorHAnsi"/>
                <w:szCs w:val="28"/>
                <w:lang w:val="en-US"/>
              </w:rPr>
            </w:pPr>
            <w:r w:rsidRPr="003055C6">
              <w:rPr>
                <w:rFonts w:asciiTheme="majorHAnsi" w:hAnsiTheme="majorHAnsi" w:cstheme="majorHAnsi"/>
                <w:szCs w:val="28"/>
                <w:lang w:val="en-US"/>
              </w:rPr>
              <w:t xml:space="preserve">Sau khi hoàn thiện các thủ tục nêu trên, </w:t>
            </w:r>
            <w:r w:rsidR="00D579F4" w:rsidRPr="003055C6">
              <w:rPr>
                <w:rFonts w:asciiTheme="majorHAnsi" w:hAnsiTheme="majorHAnsi" w:cstheme="majorHAnsi"/>
                <w:szCs w:val="28"/>
                <w:lang w:val="en-US"/>
              </w:rPr>
              <w:t xml:space="preserve">NĐT lập hồ sơ cấp Giấy phép xây dựng, gửi Bộ XD hoặc Sở XD để được cấp Giấy phép xây dựng các công trình xây dựng của </w:t>
            </w:r>
            <w:r w:rsidR="004263DA" w:rsidRPr="003055C6">
              <w:rPr>
                <w:rFonts w:asciiTheme="majorHAnsi" w:hAnsiTheme="majorHAnsi" w:cstheme="majorHAnsi"/>
                <w:szCs w:val="28"/>
                <w:lang w:val="en-US"/>
              </w:rPr>
              <w:t>dự án</w:t>
            </w:r>
          </w:p>
        </w:tc>
        <w:tc>
          <w:tcPr>
            <w:tcW w:w="2126" w:type="dxa"/>
          </w:tcPr>
          <w:p w:rsidR="00D579F4" w:rsidRPr="00361BB3" w:rsidRDefault="00D579F4" w:rsidP="00361BB3">
            <w:pPr>
              <w:spacing w:before="60" w:after="60"/>
              <w:jc w:val="center"/>
              <w:rPr>
                <w:rFonts w:asciiTheme="majorHAnsi" w:hAnsiTheme="majorHAnsi" w:cstheme="majorHAnsi"/>
                <w:szCs w:val="28"/>
                <w:lang w:val="en-US"/>
              </w:rPr>
            </w:pPr>
            <w:r w:rsidRPr="00361BB3">
              <w:rPr>
                <w:rFonts w:asciiTheme="majorHAnsi" w:hAnsiTheme="majorHAnsi" w:cstheme="majorHAnsi"/>
                <w:szCs w:val="28"/>
                <w:lang w:val="en-US"/>
              </w:rPr>
              <w:t>Bộ XD hoặc Sở XD</w:t>
            </w:r>
          </w:p>
        </w:tc>
      </w:tr>
    </w:tbl>
    <w:p w:rsidR="00B00FBA" w:rsidRPr="00B00FBA" w:rsidRDefault="00B00FBA" w:rsidP="005E50FD">
      <w:pPr>
        <w:rPr>
          <w:b/>
          <w:lang w:val="en-US"/>
        </w:rPr>
      </w:pPr>
    </w:p>
    <w:sectPr w:rsidR="00B00FBA" w:rsidRPr="00B00FBA" w:rsidSect="00033D94">
      <w:headerReference w:type="default" r:id="rId6"/>
      <w:pgSz w:w="16838" w:h="11906" w:orient="landscape"/>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F79" w:rsidRDefault="00DC6F79" w:rsidP="00033D94">
      <w:pPr>
        <w:spacing w:after="0" w:line="240" w:lineRule="auto"/>
      </w:pPr>
      <w:r>
        <w:separator/>
      </w:r>
    </w:p>
  </w:endnote>
  <w:endnote w:type="continuationSeparator" w:id="0">
    <w:p w:rsidR="00DC6F79" w:rsidRDefault="00DC6F79" w:rsidP="00033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F79" w:rsidRDefault="00DC6F79" w:rsidP="00033D94">
      <w:pPr>
        <w:spacing w:after="0" w:line="240" w:lineRule="auto"/>
      </w:pPr>
      <w:r>
        <w:separator/>
      </w:r>
    </w:p>
  </w:footnote>
  <w:footnote w:type="continuationSeparator" w:id="0">
    <w:p w:rsidR="00DC6F79" w:rsidRDefault="00DC6F79" w:rsidP="00033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03571"/>
      <w:docPartObj>
        <w:docPartGallery w:val="Page Numbers (Top of Page)"/>
        <w:docPartUnique/>
      </w:docPartObj>
    </w:sdtPr>
    <w:sdtEndPr>
      <w:rPr>
        <w:noProof/>
      </w:rPr>
    </w:sdtEndPr>
    <w:sdtContent>
      <w:p w:rsidR="00033D94" w:rsidRDefault="00033D94">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rsidR="00033D94" w:rsidRDefault="00033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0F"/>
    <w:rsid w:val="000206B6"/>
    <w:rsid w:val="00032EDE"/>
    <w:rsid w:val="000337E0"/>
    <w:rsid w:val="00033D94"/>
    <w:rsid w:val="000348AF"/>
    <w:rsid w:val="00046845"/>
    <w:rsid w:val="00060C85"/>
    <w:rsid w:val="000A5D19"/>
    <w:rsid w:val="000A7B92"/>
    <w:rsid w:val="000C22D0"/>
    <w:rsid w:val="000C4202"/>
    <w:rsid w:val="000D6EAF"/>
    <w:rsid w:val="000E1106"/>
    <w:rsid w:val="000E44E0"/>
    <w:rsid w:val="001062FA"/>
    <w:rsid w:val="001121AF"/>
    <w:rsid w:val="001158C1"/>
    <w:rsid w:val="00132789"/>
    <w:rsid w:val="00174200"/>
    <w:rsid w:val="00184A8E"/>
    <w:rsid w:val="001A2D83"/>
    <w:rsid w:val="001A6DD0"/>
    <w:rsid w:val="001B2F3C"/>
    <w:rsid w:val="001B52B4"/>
    <w:rsid w:val="001C2BF4"/>
    <w:rsid w:val="001C6198"/>
    <w:rsid w:val="001D4E0C"/>
    <w:rsid w:val="001D5F7C"/>
    <w:rsid w:val="001E5D71"/>
    <w:rsid w:val="0020225A"/>
    <w:rsid w:val="00202E63"/>
    <w:rsid w:val="00235A14"/>
    <w:rsid w:val="00240551"/>
    <w:rsid w:val="00243AD9"/>
    <w:rsid w:val="00247CE3"/>
    <w:rsid w:val="00261E5E"/>
    <w:rsid w:val="002625B5"/>
    <w:rsid w:val="00262C6A"/>
    <w:rsid w:val="00263AF4"/>
    <w:rsid w:val="00264B7F"/>
    <w:rsid w:val="00273A71"/>
    <w:rsid w:val="00293109"/>
    <w:rsid w:val="00296DA9"/>
    <w:rsid w:val="002A1380"/>
    <w:rsid w:val="002A6AE4"/>
    <w:rsid w:val="002B5405"/>
    <w:rsid w:val="002B68A1"/>
    <w:rsid w:val="002C1466"/>
    <w:rsid w:val="002D51AF"/>
    <w:rsid w:val="002D53DA"/>
    <w:rsid w:val="002F3CF3"/>
    <w:rsid w:val="003055C6"/>
    <w:rsid w:val="00313FC7"/>
    <w:rsid w:val="00314DA0"/>
    <w:rsid w:val="00320000"/>
    <w:rsid w:val="003248F1"/>
    <w:rsid w:val="00341D97"/>
    <w:rsid w:val="00353461"/>
    <w:rsid w:val="00353B6D"/>
    <w:rsid w:val="00361BB3"/>
    <w:rsid w:val="00373E02"/>
    <w:rsid w:val="003920DF"/>
    <w:rsid w:val="00393C38"/>
    <w:rsid w:val="00395E34"/>
    <w:rsid w:val="003B16E3"/>
    <w:rsid w:val="003B1D99"/>
    <w:rsid w:val="003D093D"/>
    <w:rsid w:val="003D3408"/>
    <w:rsid w:val="003E1D05"/>
    <w:rsid w:val="003E59C4"/>
    <w:rsid w:val="003E740D"/>
    <w:rsid w:val="003F168D"/>
    <w:rsid w:val="00400841"/>
    <w:rsid w:val="004263DA"/>
    <w:rsid w:val="0042665F"/>
    <w:rsid w:val="00454688"/>
    <w:rsid w:val="00455AB9"/>
    <w:rsid w:val="004675F0"/>
    <w:rsid w:val="004740C2"/>
    <w:rsid w:val="004A439F"/>
    <w:rsid w:val="004A4591"/>
    <w:rsid w:val="004B3C5B"/>
    <w:rsid w:val="004B6DDF"/>
    <w:rsid w:val="004C0DED"/>
    <w:rsid w:val="004C629D"/>
    <w:rsid w:val="0050567D"/>
    <w:rsid w:val="00527E56"/>
    <w:rsid w:val="00536C96"/>
    <w:rsid w:val="00537664"/>
    <w:rsid w:val="00570F1D"/>
    <w:rsid w:val="00574C2E"/>
    <w:rsid w:val="005759EC"/>
    <w:rsid w:val="00584B21"/>
    <w:rsid w:val="0059029F"/>
    <w:rsid w:val="005935AA"/>
    <w:rsid w:val="00593983"/>
    <w:rsid w:val="00594F92"/>
    <w:rsid w:val="0059730F"/>
    <w:rsid w:val="005A44B6"/>
    <w:rsid w:val="005C342E"/>
    <w:rsid w:val="005D052E"/>
    <w:rsid w:val="005D255B"/>
    <w:rsid w:val="005E0C54"/>
    <w:rsid w:val="005E194C"/>
    <w:rsid w:val="005E1A0C"/>
    <w:rsid w:val="005E369D"/>
    <w:rsid w:val="005E50FD"/>
    <w:rsid w:val="005E66CD"/>
    <w:rsid w:val="005F093C"/>
    <w:rsid w:val="00606058"/>
    <w:rsid w:val="0061514C"/>
    <w:rsid w:val="00620D76"/>
    <w:rsid w:val="00631E9C"/>
    <w:rsid w:val="00636173"/>
    <w:rsid w:val="00654E1A"/>
    <w:rsid w:val="00677459"/>
    <w:rsid w:val="0068593B"/>
    <w:rsid w:val="00692272"/>
    <w:rsid w:val="006A6D4F"/>
    <w:rsid w:val="006B4B0D"/>
    <w:rsid w:val="006D11D2"/>
    <w:rsid w:val="006D2429"/>
    <w:rsid w:val="006E44FD"/>
    <w:rsid w:val="006E6523"/>
    <w:rsid w:val="006F5B30"/>
    <w:rsid w:val="00705A24"/>
    <w:rsid w:val="007221D0"/>
    <w:rsid w:val="00726BE3"/>
    <w:rsid w:val="00735183"/>
    <w:rsid w:val="007526F8"/>
    <w:rsid w:val="0077632B"/>
    <w:rsid w:val="00783B34"/>
    <w:rsid w:val="00784923"/>
    <w:rsid w:val="007B5922"/>
    <w:rsid w:val="007C12EF"/>
    <w:rsid w:val="007C215C"/>
    <w:rsid w:val="007C75D3"/>
    <w:rsid w:val="007D24A9"/>
    <w:rsid w:val="007D3BDD"/>
    <w:rsid w:val="007D58FD"/>
    <w:rsid w:val="007E436C"/>
    <w:rsid w:val="007F2C99"/>
    <w:rsid w:val="007F5FBD"/>
    <w:rsid w:val="008069A7"/>
    <w:rsid w:val="00831E20"/>
    <w:rsid w:val="00847A4C"/>
    <w:rsid w:val="00873734"/>
    <w:rsid w:val="00874A5D"/>
    <w:rsid w:val="00884AFA"/>
    <w:rsid w:val="00886B9C"/>
    <w:rsid w:val="00890C61"/>
    <w:rsid w:val="00893F99"/>
    <w:rsid w:val="008A32FB"/>
    <w:rsid w:val="008C4E46"/>
    <w:rsid w:val="008C63CA"/>
    <w:rsid w:val="008E649F"/>
    <w:rsid w:val="008F247F"/>
    <w:rsid w:val="00907415"/>
    <w:rsid w:val="00920B08"/>
    <w:rsid w:val="00934D4F"/>
    <w:rsid w:val="0093653B"/>
    <w:rsid w:val="00965EF3"/>
    <w:rsid w:val="00971AC6"/>
    <w:rsid w:val="0098621B"/>
    <w:rsid w:val="0098631E"/>
    <w:rsid w:val="00986968"/>
    <w:rsid w:val="0099009F"/>
    <w:rsid w:val="0099421B"/>
    <w:rsid w:val="009B0FFE"/>
    <w:rsid w:val="009B1BA3"/>
    <w:rsid w:val="009D741A"/>
    <w:rsid w:val="009E6411"/>
    <w:rsid w:val="00A0551A"/>
    <w:rsid w:val="00A0567A"/>
    <w:rsid w:val="00A05CC5"/>
    <w:rsid w:val="00A151EA"/>
    <w:rsid w:val="00A25ED1"/>
    <w:rsid w:val="00A322B0"/>
    <w:rsid w:val="00A324C5"/>
    <w:rsid w:val="00A45BD2"/>
    <w:rsid w:val="00A56782"/>
    <w:rsid w:val="00A609BA"/>
    <w:rsid w:val="00A62195"/>
    <w:rsid w:val="00A62EA5"/>
    <w:rsid w:val="00A65951"/>
    <w:rsid w:val="00A72BAE"/>
    <w:rsid w:val="00A72F9A"/>
    <w:rsid w:val="00A73CBA"/>
    <w:rsid w:val="00A901E6"/>
    <w:rsid w:val="00AA4315"/>
    <w:rsid w:val="00AC57AF"/>
    <w:rsid w:val="00AD29A9"/>
    <w:rsid w:val="00AE1314"/>
    <w:rsid w:val="00AE5523"/>
    <w:rsid w:val="00AF0F57"/>
    <w:rsid w:val="00B00FBA"/>
    <w:rsid w:val="00B0167C"/>
    <w:rsid w:val="00B04B71"/>
    <w:rsid w:val="00B12548"/>
    <w:rsid w:val="00B431A2"/>
    <w:rsid w:val="00B660C0"/>
    <w:rsid w:val="00B76275"/>
    <w:rsid w:val="00B76819"/>
    <w:rsid w:val="00B96146"/>
    <w:rsid w:val="00BC2C83"/>
    <w:rsid w:val="00BC50D8"/>
    <w:rsid w:val="00BC5375"/>
    <w:rsid w:val="00BC5F9E"/>
    <w:rsid w:val="00BD1686"/>
    <w:rsid w:val="00BE276F"/>
    <w:rsid w:val="00BF70F1"/>
    <w:rsid w:val="00BF7D8F"/>
    <w:rsid w:val="00C12E5C"/>
    <w:rsid w:val="00C15E86"/>
    <w:rsid w:val="00C22FE6"/>
    <w:rsid w:val="00C51743"/>
    <w:rsid w:val="00C55A5A"/>
    <w:rsid w:val="00C773CB"/>
    <w:rsid w:val="00C91EFD"/>
    <w:rsid w:val="00CA650B"/>
    <w:rsid w:val="00CA68A5"/>
    <w:rsid w:val="00CB0C22"/>
    <w:rsid w:val="00CB2C10"/>
    <w:rsid w:val="00CE1507"/>
    <w:rsid w:val="00CE5DAE"/>
    <w:rsid w:val="00CE6171"/>
    <w:rsid w:val="00D03EF1"/>
    <w:rsid w:val="00D579F4"/>
    <w:rsid w:val="00D62FF1"/>
    <w:rsid w:val="00D73227"/>
    <w:rsid w:val="00D938D2"/>
    <w:rsid w:val="00D94C7D"/>
    <w:rsid w:val="00DA2FF8"/>
    <w:rsid w:val="00DC6F79"/>
    <w:rsid w:val="00DC795D"/>
    <w:rsid w:val="00DD2D25"/>
    <w:rsid w:val="00DD34BC"/>
    <w:rsid w:val="00DD3510"/>
    <w:rsid w:val="00DD3F20"/>
    <w:rsid w:val="00DE40C4"/>
    <w:rsid w:val="00DE652C"/>
    <w:rsid w:val="00DF22F0"/>
    <w:rsid w:val="00DF6769"/>
    <w:rsid w:val="00E15D51"/>
    <w:rsid w:val="00E17639"/>
    <w:rsid w:val="00E42057"/>
    <w:rsid w:val="00E711F8"/>
    <w:rsid w:val="00E83195"/>
    <w:rsid w:val="00E85938"/>
    <w:rsid w:val="00EB1640"/>
    <w:rsid w:val="00EB200B"/>
    <w:rsid w:val="00EB6ABF"/>
    <w:rsid w:val="00EB6BDB"/>
    <w:rsid w:val="00ED4A7A"/>
    <w:rsid w:val="00EE1934"/>
    <w:rsid w:val="00EE5E81"/>
    <w:rsid w:val="00EF5F61"/>
    <w:rsid w:val="00F00516"/>
    <w:rsid w:val="00F103C9"/>
    <w:rsid w:val="00F113D9"/>
    <w:rsid w:val="00F15DFE"/>
    <w:rsid w:val="00F3798D"/>
    <w:rsid w:val="00F6408A"/>
    <w:rsid w:val="00F64288"/>
    <w:rsid w:val="00F82631"/>
    <w:rsid w:val="00F94337"/>
    <w:rsid w:val="00FA18EC"/>
    <w:rsid w:val="00FA628E"/>
    <w:rsid w:val="00FB3063"/>
    <w:rsid w:val="00FB4365"/>
    <w:rsid w:val="00FC41D8"/>
    <w:rsid w:val="00FD380B"/>
    <w:rsid w:val="00FF22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A2DD6-1CA6-4B19-90C7-845B4564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D94"/>
  </w:style>
  <w:style w:type="paragraph" w:styleId="Footer">
    <w:name w:val="footer"/>
    <w:basedOn w:val="Normal"/>
    <w:link w:val="FooterChar"/>
    <w:uiPriority w:val="99"/>
    <w:unhideWhenUsed/>
    <w:rsid w:val="0003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7</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ADMIN</cp:lastModifiedBy>
  <cp:revision>34</cp:revision>
  <dcterms:created xsi:type="dcterms:W3CDTF">2023-02-07T03:46:00Z</dcterms:created>
  <dcterms:modified xsi:type="dcterms:W3CDTF">2023-03-31T01:51:00Z</dcterms:modified>
</cp:coreProperties>
</file>